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SN-17848 (Sachsen) — Begriffsbestimmungen</w:t>
      </w:r>
    </w:p>
    <w:p>
      <w:r>
        <w:rPr>
          <w:color w:val="555555"/>
          <w:sz w:val="18"/>
        </w:rPr>
        <w:t xml:space="preserve">Polizeiverordnung des Sächsischen Staatsministeriums des Innern über das Verbot des Mitführens gefährlicher Gegenstände in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Gefährliche Gegenstände sind:</w:t>
      </w:r>
    </w:p>
    <w:p>
      <w:r>
        <w:t xml:space="preserve">1. Äxte und Beile,</w:t>
      </w:r>
    </w:p>
    <w:p>
      <w:r>
        <w:t xml:space="preserve">2. Schlagstöcke, Baseballschläger und Gegenstände, die geeignet und den Umständen nach dazu bestimmt sind, als Hieb- oder Stoßwaffen gegen Personen oder Sachen eingesetzt zu werden, wie zweckentfremdet angeschärfte Werkzeuge,</w:t>
      </w:r>
    </w:p>
    <w:p>
      <w:r>
        <w:t xml:space="preserve">3. Handschuhe mit harten Füllungen und Quarzsandhandschuhe,</w:t>
      </w:r>
    </w:p>
    <w:p>
      <w:r>
        <w:t xml:space="preserve">4. Messer, soweit sie nicht dem Waffengesetz unterfallen,</w:t>
      </w:r>
    </w:p>
    <w:p>
      <w:r>
        <w:t xml:space="preserve">5. Reizstoffsprühgeräte und Tierabwehrsprays, soweit sie nicht dem Waffengesetz unterfallen.</w:t>
      </w:r>
    </w:p>
    <w:p>
      <w:r>
        <w:t xml:space="preserve">(2) Gefährliche Gegenstände führt mit, wer die tatsächliche Gewalt über gefährliche Gegenstände außerhalb der eigenen Wohnung, von Geschäftsräumen oder des eigenen befriedeten Besitztums ausübt.</w:t>
      </w:r>
    </w:p>
    <w:p>
      <w:r>
        <w:rPr>
          <w:color w:val="555555"/>
          <w:sz w:val="17"/>
        </w:rPr>
        <w:t xml:space="preserve">Zitiervorschlag: § 2 SN-17848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https://recht.nulegal.eu/gesetze/SN-17848/2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