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SN-17544 (Sachsen)</w:t>
      </w:r>
    </w:p>
    <w:p>
      <w:r>
        <w:rPr>
          <w:color w:val="555555"/>
          <w:sz w:val="18"/>
        </w:rPr>
        <w:t xml:space="preserve">Verordnung der Landesdirektion Chemnitz zur Festlegung des Bodenplanungsgebietes „Raum Freiberg“</w:t>
      </w:r>
    </w:p>
    <w:p>
      <w:r>
        <w:rPr>
          <w:color w:val="555555"/>
          <w:sz w:val="18"/>
        </w:rPr>
        <w:t xml:space="preserve">Landesrecht Sachsen</w:t>
      </w:r>
    </w:p>
    <w:p>
      <w:r>
        <w:rPr>
          <w:color w:val="555555"/>
          <w:sz w:val="18"/>
        </w:rPr>
        <w:t xml:space="preserve">Stand: 26.08.2026 (konsolidierte Textfassung, kein amtliches Inkrafttretensdatum)</w:t>
      </w:r>
    </w:p>
    <w:p>
      <w:r>
        <w:t xml:space="preserve">Vom 10. Mai 2011</w:t>
      </w:r>
    </w:p>
    <w:p>
      <w:r>
        <w:t xml:space="preserve">Es wird verordnet aufgrund von</w:t>
      </w:r>
    </w:p>
    <w:p>
      <w:r>
        <w:t xml:space="preserve">1. § 9 des Sächsischen Abfallwirtschafts- und Bodenschutzgesetzes (SächsABG) in der Fassung der Bekanntmachung vom 31. Mai 1999 (SächsGVBl. S. 261), das zuletzt durch Artikel 16 des Gesetzes vom 15. Dezember 2010 (SächsGVBl. S. 387, 398) geändert worden ist, und</w:t>
      </w:r>
    </w:p>
    <w:p>
      <w:r>
        <w:t xml:space="preserve">2. § 12 Abs. 10 der Bundes-Bodenschutz- und Altlastenverordnung ( BBodSchV ) vom 12. Juli 1999 (BGBl. I S. 1554), die zuletzt durch Artikel 16 des Gesetzes vom 31. Juli 2009 (BGBl. I S. 2585, 2619) geändert worden ist:</w:t>
      </w:r>
    </w:p>
    <w:p>
      <w:r>
        <w:rPr>
          <w:color w:val="555555"/>
          <w:sz w:val="17"/>
        </w:rPr>
        <w:t xml:space="preserve">Zitiervorschlag: Eingangsformel SN-17544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https://recht.nulegal.eu/gesetze/SN-17544/eingangsformel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