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SN-17507 (Sachsen) — Inkrafttreten</w:t>
      </w:r>
    </w:p>
    <w:p>
      <w:r>
        <w:rPr>
          <w:color w:val="555555"/>
          <w:sz w:val="18"/>
        </w:rPr>
        <w:t xml:space="preserve">Gesetz zum Studienakkreditierungsstaatsvertrag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Studienakkreditierungsstaatsvertrag nach seinem Artikel 18 Absatz 1 in Kraft tritt, ist durch die Staatskanzlei im Sächsischen Gesetz- und Verordnungsblatt bekannt zu machen.</w:t>
      </w:r>
    </w:p>
    <w:p>
      <w:r>
        <w:t xml:space="preserve">Dresden, den 13. Dezember 2017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Die Staatsministerin für Wissenschaft und Kunst</w:t>
      </w:r>
    </w:p>
    <w:p>
      <w:r>
        <w:t xml:space="preserve">Dr. Eva-Maria Stange</w:t>
      </w:r>
    </w:p>
    <w:p>
      <w:r>
        <w:rPr>
          <w:color w:val="555555"/>
          <w:sz w:val="17"/>
        </w:rPr>
        <w:t xml:space="preserve">Zitiervorschlag: Artikel 2 SN-17507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