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SN-17386 (Sachsen)</w:t>
      </w:r>
    </w:p>
    <w:p>
      <w:r>
        <w:rPr>
          <w:color w:val="555555"/>
          <w:sz w:val="18"/>
        </w:rPr>
        <w:t xml:space="preserve">Gesetz zu dem Zweiten Abkommen zur Änderung des Abkommens über die Zentralstelle der Länder für Gesundheitsschutz bei Arzneimitteln und Medizinprodukten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Sächsische Landtag hat am 7. März 2012 das folgende Gesetz beschlossen:</w:t>
      </w:r>
    </w:p>
    <w:p>
      <w:r>
        <w:rPr>
          <w:color w:val="555555"/>
          <w:sz w:val="17"/>
        </w:rPr>
        <w:t xml:space="preserve">Zitiervorschlag: Eingangsformel SN-17386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https://recht.nulegal.eu/gesetze/SN-17386/eingangsformel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SN-17386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