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SN-17215 (Sachsen)</w:t>
      </w:r>
    </w:p>
    <w:p>
      <w:r>
        <w:rPr>
          <w:color w:val="555555"/>
          <w:sz w:val="18"/>
        </w:rPr>
        <w:t xml:space="preserve">Gesetz zum Staatsvertrag über die gemeinsame Einrichtung für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April 2017</w:t>
      </w:r>
    </w:p>
    <w:p>
      <w:r>
        <w:t xml:space="preserve">Der Sächsische Landtag hat am 15. März 2017 das folgende Gesetz beschlossen:</w:t>
      </w:r>
    </w:p>
    <w:p>
      <w:r>
        <w:rPr>
          <w:color w:val="555555"/>
          <w:sz w:val="17"/>
        </w:rPr>
        <w:t xml:space="preserve">Zitiervorschlag: Eingangsformel SN-17215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https://recht.nulegal.eu/gesetze/SN-17215/eingangsformel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