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SN-16955 (Sachsen)</w:t>
      </w:r>
    </w:p>
    <w:p>
      <w:r>
        <w:rPr>
          <w:color w:val="555555"/>
          <w:sz w:val="18"/>
        </w:rPr>
        <w:t xml:space="preserve">Staatsvertrag über die Einrichtung eines gemeinsamen Studienganges für den Amtsanwaltsdienst und die Errichtung eines gemeinsamen Prüfungsamtes für die Abnahme der Amtsanwaltsprüfung</w:t>
      </w:r>
    </w:p>
    <w:p>
      <w:r>
        <w:rPr>
          <w:color w:val="555555"/>
          <w:sz w:val="18"/>
        </w:rPr>
        <w:t xml:space="preserve">Landesrecht Sachsen</w:t>
      </w:r>
    </w:p>
    <w:p>
      <w:r>
        <w:rPr>
          <w:color w:val="555555"/>
          <w:sz w:val="18"/>
        </w:rPr>
        <w:t xml:space="preserve">Stand: 27.08.2026 (konsolidierte Textfassung, kein amtliches Inkrafttretensdatum)</w:t>
      </w:r>
    </w:p>
    <w:p>
      <w:r>
        <w:t xml:space="preserve">Für das Studium I und II gelten im Übrigen die Bestimmungen der Verordnung über die Ausbildung und Prüfung für die Laufbahn des Amtsanwaltsdienstes des Landes Nordrhein-Westfalen (APOAA) vom 6. November 2006 (GV. NRW. S. 520) in der jeweils geltenden Fassung. Änderungen der Verordnung über die Ausbildung und Prüfung für die Laufbahn des Amtsanwaltsdienstes des Landes Nordrhein-Westfalen (APOAA) werden unter den Ländern abgestimmt.</w:t>
      </w:r>
    </w:p>
    <w:p>
      <w:r>
        <w:rPr>
          <w:color w:val="555555"/>
          <w:sz w:val="17"/>
        </w:rPr>
        <w:t xml:space="preserve">Zitiervorschlag: § 4 SN-16955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https://recht.nulegal.eu/gesetze/SN-16955/4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