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SN-16954 (Sachsen)</w:t>
      </w:r>
    </w:p>
    <w:p>
      <w:r>
        <w:rPr>
          <w:color w:val="555555"/>
          <w:sz w:val="18"/>
        </w:rPr>
        <w:t xml:space="preserve">Gesetz zum 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§ 16 Absatz 2 Satz 1 für den Freistaat Sachsen in Kraft tritt, ist durch die Staatskanzlei im Sächsischen Gesetz- und Verordnungsblatt bekannt zu machen.</w:t>
      </w:r>
    </w:p>
    <w:p>
      <w:r>
        <w:t xml:space="preserve">Dresden, den 8. Juli 2016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Justiz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Artikel 2 SN-16954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