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SN-16745 (Sachsen) — Wirtschaftsplan</w:t>
      </w:r>
    </w:p>
    <w:p>
      <w:r>
        <w:rPr>
          <w:color w:val="555555"/>
          <w:sz w:val="18"/>
        </w:rPr>
        <w:t xml:space="preserve">Gesetz über die Errichtung eines Sondervermögens „Brücken in die Zukunft“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Staatsministerium der Finanzen erstellt für jedes Wirtschaftsjahr einen Wirtschaftsplan. Das Wirtschaftsjahr ist das Haushaltsjahr. Der Wirtschaftsplan enthält alle im Wirtschaftsjahr zu erwartenden Einnahmen und voraussichtlich zu leistenden Ausgaben.</w:t>
      </w:r>
    </w:p>
    <w:p>
      <w:r>
        <w:t xml:space="preserve">(2) Der Wirtschaftsplan ist beginnend mit dem Haushaltsjahr 2017 dem Staatshaushaltsplan für das jeweilige Haushaltsjahr als Anlage beizufügen.</w:t>
      </w:r>
    </w:p>
    <w:p>
      <w:r>
        <w:rPr>
          <w:color w:val="555555"/>
          <w:sz w:val="17"/>
        </w:rPr>
        <w:t xml:space="preserve">Zitiervorschlag: § 5 SN-16745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https://recht.nulegal.eu/gesetze/SN-16745/5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