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SN-16745 (Sachsen) — Stellung im Rechtsverkehr</w:t>
      </w:r>
    </w:p>
    <w:p>
      <w:r>
        <w:rPr>
          <w:color w:val="555555"/>
          <w:sz w:val="18"/>
        </w:rPr>
        <w:t xml:space="preserve">Gesetz über die Errichtung eines Sondervermögens „Brücken in die Zukunft“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 ist nicht rechtsfähig. Das Staatsministerium der Finanzen verwaltet den Fonds.</w:t>
      </w:r>
    </w:p>
    <w:p>
      <w:r>
        <w:rPr>
          <w:color w:val="555555"/>
          <w:sz w:val="17"/>
        </w:rPr>
        <w:t xml:space="preserve">Zitiervorschlag: § 3 SN-16745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https://recht.nulegal.eu/gesetze/SN-16745/3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