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SN-16745 (Sachsen) — Zweck und Mittelverwendung des Fonds</w:t>
      </w:r>
    </w:p>
    <w:p>
      <w:r>
        <w:rPr>
          <w:color w:val="555555"/>
          <w:sz w:val="18"/>
        </w:rPr>
        <w:t xml:space="preserve">Gesetz über die Errichtung eines Sondervermögens „Brücken in die Zukunft“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Fonds dient der ergänzenden Förderung von kommunalen Investitionen im Freistaat Sachsen.</w:t>
      </w:r>
    </w:p>
    <w:p>
      <w:r>
        <w:t xml:space="preserve">(2) Die konkrete Mittelverwendung des Fonds richtet sich insbesondere nach den Bestimmungen des Kommunalinvestitionsförderungsgesetzes vom 24. Juni 2015 (BGBl. I S. 974, 975), das zuletzt durch Artikel 3 des Gesetzes vom 10. September 2021 (BGBl. I S. 4147) geändert worden ist, und den hierzu abgeschlossenen Verwaltungsvereinbarungen sowie dem Sächsischen Investitionskraftstärkungsgesetz vom 16. Dezember 2015 (SächsGVBl. S. 656, 657), das zuletzt durch Artikel 5 des Gesetzes vom 20. Dezember 2022 (SächsGVBl. S. 743) geändert worden ist, in der jeweils geltenden Fassung.</w:t>
      </w:r>
    </w:p>
    <w:p>
      <w:r>
        <w:t xml:space="preserve">(3) Die Ausgaben für die Abwicklung trägt der Fonds.</w:t>
      </w:r>
    </w:p>
    <w:p>
      <w:r>
        <w:rPr>
          <w:color w:val="555555"/>
          <w:sz w:val="17"/>
        </w:rPr>
        <w:t xml:space="preserve">Zitiervorschlag: § 2 SN-16745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https://recht.nulegal.eu/gesetze/SN-16745/2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