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SN-16226 (Sachsen)</w:t>
      </w:r>
    </w:p>
    <w:p>
      <w:r>
        <w:rPr>
          <w:color w:val="555555"/>
          <w:sz w:val="18"/>
        </w:rPr>
        <w:t xml:space="preserve">Verordnung der Landesdirektion Sachsen zur Festsetzung des Hochwasserentstehungsgebietes „Untere Müglitz/Gottleuba“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von § 76 Absatz 1 Satz 2 des Sächsischen Wassergesetzes vom 12. Juli 2013 (SächsGVBl. S. 503), das zuletzt durch Artikel 22 des Gesetzes vom 29. April 2015 (SächsGVBl. S. 349) geändert worden ist, wird verordnet:</w:t>
      </w:r>
    </w:p>
    <w:p>
      <w:r>
        <w:rPr>
          <w:color w:val="555555"/>
          <w:sz w:val="17"/>
        </w:rPr>
        <w:t xml:space="preserve">Zitiervorschlag: Eingangsformel SN-16226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https://recht.nulegal.eu/gesetze/SN-16226/eingangsformel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