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SN-15244 (Sachsen) — In-Kraft-Treten und Außer-Kraft-Treten</w:t>
      </w:r>
    </w:p>
    <w:p>
      <w:r>
        <w:rPr>
          <w:color w:val="555555"/>
          <w:sz w:val="18"/>
        </w:rPr>
        <w:t xml:space="preserve">Verordnung des Regierungspräsidiums Dresden zur Festsetzung des Naturschutzgebietes „Lugteich bei Grüngräbchen“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gemäß § 2 Abs. 4 in Kraft. Gleichzeitig tritt die Anordnung Nummer 3 über Naturschutzgebiete vom 11. September 1967 (GBl. II DDR S. 697), soweit diese das Naturschutzgebiet „Lugteich bei Grüngräbchen“ betrifft, außer Kraft.</w:t>
      </w:r>
    </w:p>
    <w:p>
      <w:r>
        <w:t xml:space="preserve">Dresden, den 6. August 2004</w:t>
      </w:r>
    </w:p>
    <w:p>
      <w:r>
        <w:t xml:space="preserve">Regierungspräsidium Dresden</w:t>
      </w:r>
    </w:p>
    <w:p>
      <w:r>
        <w:t xml:space="preserve">Dr. Hasenpflug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9 SN-15244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https://recht.nulegal.eu/gesetze/SN-15244/9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