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SN-15244 (Sachsen) — Schutzzweck</w:t>
      </w:r>
    </w:p>
    <w:p>
      <w:r>
        <w:rPr>
          <w:color w:val="555555"/>
          <w:sz w:val="18"/>
        </w:rPr>
        <w:t xml:space="preserve">Verordnung des Regierungspräsidiums Dresden zur Festsetzung des Naturschutzgebietes „Lugteich bei Grüngräbchen“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Schutzzweck ist die Erhaltung, Pflege und Entwicklung gebietstypischer Pflanzen- und Tierarten in ihren Lebensgemeinschaften sowie die Erhaltung des Gebietes als Bestandteil des zusammenhängenden europäischen ökologischen Netzes besonderer Schutzgebiete („Natura 2000“).</w:t>
      </w:r>
    </w:p>
    <w:p>
      <w:r>
        <w:t xml:space="preserve">(2) Schutzzweck ist insbesondere</w:t>
      </w:r>
    </w:p>
    <w:p>
      <w:r>
        <w:t xml:space="preserve">1. die Erhaltung und ungestörte Entwicklung von Biotopen und natürlichen Lebensräumen von gemeinschaftlichem Interesse, wie</w:t>
      </w:r>
    </w:p>
    <w:p>
      <w:r>
        <w:t xml:space="preserve">a)</w:t>
      </w:r>
    </w:p>
    <w:p>
      <w:r>
        <w:t xml:space="preserve">der Verlandungsvegetation des Teiches (FFH-Lebensraumtyp 3150) in der Größenordnung ihrer zum Zeitpunkt des In-Kraft-Tretens dieser Verordnung vorhandenen teichseitigen Ausdehnung,</w:t>
      </w:r>
    </w:p>
    <w:p>
      <w:r>
        <w:t xml:space="preserve">b)</w:t>
      </w:r>
    </w:p>
    <w:p>
      <w:r>
        <w:t xml:space="preserve">dem Zwischenmoor (FFH-Lebensraumtyp 7140),</w:t>
      </w:r>
    </w:p>
    <w:p>
      <w:r>
        <w:t xml:space="preserve">c)</w:t>
      </w:r>
    </w:p>
    <w:p>
      <w:r>
        <w:t xml:space="preserve">der Feuchtheide (FFH-Lebensraumtyp 4010),</w:t>
      </w:r>
    </w:p>
    <w:p>
      <w:r>
        <w:t xml:space="preserve">d)</w:t>
      </w:r>
    </w:p>
    <w:p>
      <w:r>
        <w:t xml:space="preserve">dem Kiefernmoorwald (FFH-Lebensraumtyp 91D2; prioritär),</w:t>
      </w:r>
    </w:p>
    <w:p>
      <w:r>
        <w:t xml:space="preserve">e)</w:t>
      </w:r>
    </w:p>
    <w:p>
      <w:r>
        <w:t xml:space="preserve">dem Erlen-Sumpfwald,</w:t>
      </w:r>
    </w:p>
    <w:p>
      <w:r>
        <w:t xml:space="preserve">f)</w:t>
      </w:r>
    </w:p>
    <w:p>
      <w:r>
        <w:t xml:space="preserve">dem Weiden-Sumpfgebüsch sowie</w:t>
      </w:r>
    </w:p>
    <w:p>
      <w:r>
        <w:t xml:space="preserve">g)</w:t>
      </w:r>
    </w:p>
    <w:p>
      <w:r>
        <w:t xml:space="preserve">den höhlenreichen Einzelbäumen</w:t>
      </w:r>
    </w:p>
    <w:p>
      <w:r>
        <w:t xml:space="preserve">einschließlich ihrer Lebensgemeinschaften mit bestimmten Tier- und Pflanzenarten und Arten gemeinschaftlichen Interesses wie Fischotter, Kranich, Laubfrosch, Schlammpeitzger, Weißes Schnabelried, Glockenheide und Sumpfporst;</w:t>
      </w:r>
    </w:p>
    <w:p>
      <w:r>
        <w:t xml:space="preserve">2. die Erhaltung und pflegliche Nutzung oder Pflege von Biotopen, wie des Teiches, des Eichenmischwaldes, der Feuchtstaudenflur, der Nass- und Frischwiese einschließlich ihrer Lebensgemeinschaften;</w:t>
      </w:r>
    </w:p>
    <w:p>
      <w:r>
        <w:t xml:space="preserve">3. die Erhaltung und Entwicklung ausreichender und möglichst naturnaher Strukturen, insbesondere des randlichen Eichenmischwaldes, des Kiefernwaldes und des extensiven Grünlandes zur Pufferung von in das Gebiet einwirkenden Beeinträchtigungen;</w:t>
      </w:r>
    </w:p>
    <w:p>
      <w:r>
        <w:t xml:space="preserve">4. die Erhaltung und Entwicklung der natürlichen Standortbedingungen des Gebietes, insbesondere des hohen Grundwasserstandes und des Zuflusses an Oberflächenwasser sowie der nährstoffarmen Milieubedingungen im Zwischenmoor.</w:t>
      </w:r>
    </w:p>
    <w:p>
      <w:r>
        <w:rPr>
          <w:color w:val="555555"/>
          <w:sz w:val="17"/>
        </w:rPr>
        <w:t xml:space="preserve">Zitiervorschlag: § 3 SN-15244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https://recht.nulegal.eu/gesetze/SN-15244/3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