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SN-15241 (Sachsen) — Schutz- und Pflegemaßnahmen</w:t>
      </w:r>
    </w:p>
    <w:p>
      <w:r>
        <w:rPr>
          <w:color w:val="555555"/>
          <w:sz w:val="18"/>
        </w:rPr>
        <w:t xml:space="preserve">Verordnung des Regierungspräsidiums Leipzig zur Festsetzung des Naturschutzgebietes „Döbener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Erreichen des Schutzzweckes nach § 3 und nach Maßgabe der §§ 4 und 5 dieser Verordnung sind zur dauerhaften Sicherung und Weiterentwicklung der Schutzwürdigkeit des Naturschutzgebietes</w:t>
      </w:r>
    </w:p>
    <w:p>
      <w:r>
        <w:t xml:space="preserve">1. in Abstimmung mit den Nutzungsberechtigten eine pflegliche Bewirtschaftung der naturnahen Waldbereiche fortzuführen beziehungsweise zu entwickeln, die die vorhandenen naturnahen Bestandsarten- und Altersstrukturen erhält beziehungsweise in den Rotbuchenwäldern die Altersstruktur und die Erosionsgefahr berücksichtigt, einen waldlebensraumtypischen Alt- und Totholzanteil sichert, naturnahe Waldrandstrukturen zulässt und entwickelt sowie nicht naturnahe Waldflächen in naturnahe Bestände überführt;</w:t>
      </w:r>
    </w:p>
    <w:p>
      <w:r>
        <w:t xml:space="preserve">2. für die bisher als Wiesen und Weiden genutzten Grünlandflächen einvernehmlich mit den Eigentümern und Nutzungsberechtigten eine naturschutzgerechte Bewirtschaftung sicherzustellen beziehungsweise einzuleiten und zu entwickeln;</w:t>
      </w:r>
    </w:p>
    <w:p>
      <w:r>
        <w:t xml:space="preserve">3. für die sonstigen naturnahen Offenlandbiotope, Streuobstwiesen und Feldgehölze eine biotopgerechte Pflege ein- beziehungsweise fortzuführen und weiterzuentwickeln sowie gegebenenfalls durch ersteinrichtende Maßnahmen die Grundlage für eine dem Schutzzweck entsprechende Biotopentwicklung zu schaffen;</w:t>
      </w:r>
    </w:p>
    <w:p>
      <w:r>
        <w:t xml:space="preserve">4. für die an Wälder oder andere naturnahe Biotope angrenzenden Ackerflächen außerhalb des NSG auf eine Bewirtschaftung hinzuwirken, die die Bodenerosion sowie einen Nährstoff- oder Biozideintrag in die geschützten Bereiche verhindert;</w:t>
      </w:r>
    </w:p>
    <w:p>
      <w:r>
        <w:t xml:space="preserve">5. die natürliche Entwicklung aller Gewässer und -randstrukturen soweit wie möglich zuzulassen und wo sinnvoll diese durch gezielte Maßnahmen einvernehmlich mit den Betroffenen zu ermöglichen.</w:t>
      </w:r>
    </w:p>
    <w:p>
      <w:r>
        <w:t xml:space="preserve">(2) Der zu erarbeitende Managementplan für das FFH-Gebiet dient der fachlichen Untersetzung der gebietsspezifischen Erhaltungsziele und legt Maßnahmen fest, mit denen der günstige Erhaltungszustand der FFH-Lebensraumtypen und -arten gesichert oder wiederhergestellt werden kann.</w:t>
      </w:r>
    </w:p>
    <w:p>
      <w:r>
        <w:t xml:space="preserve">(3) Der zu erstellende und mit dem Managementplan abgestimmte Pflege- und Entwicklungsplan wird nach Abstimmung mit den Eigentümern beziehungsweise Nutzungsberechtigten verbindliche Grundlage für Pflege- und Entwicklungsmaßnahmen.</w:t>
      </w:r>
    </w:p>
    <w:p>
      <w:r>
        <w:rPr>
          <w:color w:val="555555"/>
          <w:sz w:val="17"/>
        </w:rPr>
        <w:t xml:space="preserve">Zitiervorschlag: § 6 SN-15241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