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SN-15240 (Sachsen) — Zulässige Handlungen</w:t>
      </w:r>
    </w:p>
    <w:p>
      <w:r>
        <w:rPr>
          <w:color w:val="555555"/>
          <w:sz w:val="18"/>
        </w:rPr>
        <w:t xml:space="preserve">Verordnung des Regierungspräsidiums Chemnitz zur Festsetzung des Naturschutzgebiets „Schwarzwassertal“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4 gilt nicht für:</w:t>
      </w:r>
    </w:p>
    <w:p>
      <w:r>
        <w:t xml:space="preserve">1. die dem Schutzzweck entsprechende ordnungsgemäße Ausübung der Jagd unter besonderer Beachtung von § 5 Abs. 1 Nr. 1;</w:t>
      </w:r>
    </w:p>
    <w:p>
      <w:r>
        <w:t xml:space="preserve">2. die dem Schutzzweck entsprechende umweltgerechte Forstwirtschaft unter besonderer Beachtung von § 7 Abs. 2 Nrn. 1 bis 5;</w:t>
      </w:r>
    </w:p>
    <w:p>
      <w:r>
        <w:t xml:space="preserve">3. die sonstige bisher rechtmäßig ausgeübte Nutzung von Wirtschafts- und Wanderwegen in der bisherigen Art und ihrem bisherigen Umfang sowie deren Unterhaltung und Erhaltung;</w:t>
      </w:r>
    </w:p>
    <w:p>
      <w:r>
        <w:t xml:space="preserve">4. das Klettern in den Klettergebieten Nonnenfelsen, Katzensteinnadel, Goldkrone und Silberwand sowie an der Teufelsmauer nach Maßgabe der sächsischen Kletterregeln (bestimmt durch den Sächsischen Bergsteigerbund).</w:t>
      </w:r>
    </w:p>
    <w:p>
      <w:r>
        <w:t xml:space="preserve">Die Einstiege in die Kletterfelsen sind durch das Symbol „schwarzer Dreieckspfeil auf weißem Grund“ gekennzeichnet.</w:t>
      </w:r>
    </w:p>
    <w:p>
      <w:r>
        <w:t xml:space="preserve">Die Zulässigkeit des Kletterns schließt die Durchführung einer Höhenrettungsübung der örtlichen Feuerwehr an einem Tag pro Jahr – auch am Katzenstein – ein;</w:t>
      </w:r>
    </w:p>
    <w:p>
      <w:r>
        <w:t xml:space="preserve">5. den Aufenthalt im Bereich zwischen dem Nonnenfelsen und der Teufelsmauer außerhalb des Tal-Wanderwegs;</w:t>
      </w:r>
    </w:p>
    <w:p>
      <w:r>
        <w:t xml:space="preserve">6. den Aufenthalt auf den nach § 5 Abs. 1 Nr. 4 erlaubten und gekennzeichneten Rastplätzen;</w:t>
      </w:r>
    </w:p>
    <w:p>
      <w:r>
        <w:t xml:space="preserve">7. das Betreten der nach § 5 Abs. 1 Nr. 5 zugänglichen und als solche gekennzeichneten Flussbereiche;</w:t>
      </w:r>
    </w:p>
    <w:p>
      <w:r>
        <w:t xml:space="preserve">8. Maßnahmen der Gewässerunterhaltung nach dem Sächsischen Wassergesetz ( SächsWG ) in der Fassung der Bekanntmachung vom 21. Juli 1998 (SächsGVBl. S 393), zuletzt geändert durch Artikel 2 des Gesetzes vom 1. September 2003 (SächsGVBl. S. 418, 423), in der jeweils geltenden Fassung.</w:t>
      </w:r>
    </w:p>
    <w:p>
      <w:r>
        <w:rPr>
          <w:color w:val="555555"/>
          <w:sz w:val="17"/>
        </w:rPr>
        <w:t xml:space="preserve">Zitiervorschlag: § 6 SN-15240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https://recht.nulegal.eu/gesetze/SN-15240/6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