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SN-15240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Naturschutzgebiets „Schwarzwassertal“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des Schutzgebiets nach § 3 haben können, bedürfen der schriftlichen Erlaubnis der höheren Naturschutzbehörde:</w:t>
      </w:r>
    </w:p>
    <w:p>
      <w:r>
        <w:t xml:space="preserve">1. das Errichten fester oder das Aufstellen transportabler jagdlicher Hochsitze sowie das Anlegen von Salzleckstellen, Kirrungen und Fütterungen;</w:t>
      </w:r>
    </w:p>
    <w:p>
      <w:r>
        <w:t xml:space="preserve">2. das Ausbringen von Kalk;</w:t>
      </w:r>
    </w:p>
    <w:p>
      <w:r>
        <w:t xml:space="preserve">3. das Aufstellen und Anbringen von Plakaten, Bild- oder Schrifttafeln sowie Markierungszeichen einschließlich deren Aufzeichnen auf im Schutzgebiet befindliche Objekte;</w:t>
      </w:r>
    </w:p>
    <w:p>
      <w:r>
        <w:t xml:space="preserve">4. das Anlegen und das Kennzeichnen von Rastplätzen;</w:t>
      </w:r>
    </w:p>
    <w:p>
      <w:r>
        <w:t xml:space="preserve">5. das Zugänglichmachen und dasKennzeichnen von Stellen, an denen die Schwarze Pockau betreten werden darf.</w:t>
      </w:r>
    </w:p>
    <w:p>
      <w:r>
        <w:t xml:space="preserve">(2) Die Erlaubnis ist zu erteilen, wenn die Handlung den Schutzzweck nach § 3 nicht beeinträchtigt oder diesem zugute kommt und Wirkungen der in § 4 genanntenArt nicht zur Folge hat oder solche Wirkungen durch Auflagen oder Bedingungen abgewendet werden können.</w:t>
      </w:r>
    </w:p>
    <w:p>
      <w:r>
        <w:t xml:space="preserve">(3) Einer Erlaubnis bedarf es nicht bei Handlungen der Forst- und Jagdbehörden des Freistaates Sachsen, sofern diese im Einvernehmen mit der unteren Naturschutzbehörde ergehen.</w:t>
      </w:r>
    </w:p>
    <w:p>
      <w:r>
        <w:rPr>
          <w:color w:val="555555"/>
          <w:sz w:val="17"/>
        </w:rPr>
        <w:t xml:space="preserve">Zitiervorschlag: § 5 SN-15240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