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SN-15240 (Sachsen) — Schutzzweck</w:t>
      </w:r>
    </w:p>
    <w:p>
      <w:r>
        <w:rPr>
          <w:color w:val="555555"/>
          <w:sz w:val="18"/>
        </w:rPr>
        <w:t xml:space="preserve">Verordnung des Regierungspräsidiums Chemnitz zur Festsetzung des Naturschutzgebiets „Schwarzwassertal“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Schutzzweck ist:</w:t>
      </w:r>
    </w:p>
    <w:p>
      <w:r>
        <w:t xml:space="preserve">1. die Erhaltung eines günstigen Zustands des dystrophen, blockreichen und naturnahen bis natürlichen Oberlauf-Abschnitts (Rhithral) des Flusses Schwarze Pockau (Schwarzwasser) als Fließgewässer mit Unterwasservegetation (Lebensraumtyp mit dem NATURA – 2000 – Code 3260 entsprechend der Richtlinie 92/43/EWG des Rates vom 21. Mai 1992 zur Erhaltung der natürlichen Lebensräume sowie wildlebender Tiere und Pflanzen, Fauna-Flora-Habitat-Richtlinie – FFH-RL, (ABl. EG Nr. L 206 S. 7 vom 22. Juli 1992) und als Lebensraum gewässergebundener Pflanzenarten wie zum Beispiel dem Wassermoos Scapania undulata und Tierarten wie zum Beispiel Wasseramsel ( Cinclus cinclus ), Gebirgsstelze ( Motacilla cinerea ), sowie rheophilen Makrozoobenthos-Gemeinschaften mit Insektenarten wie Steinfliege Isoperla oxylepis , Schwimmkäfern wie Deronectes platynosus, Oreodytes sanmarkii ;</w:t>
      </w:r>
    </w:p>
    <w:p>
      <w:r>
        <w:t xml:space="preserve">2. die Erhaltung und Entwicklung eines günstigen Zustands naturnaher montaner Waldgesellschaften wie zum Beispiel Hainsimsen Buchenwälder (Lebensraumtyp mit dem NATURA-2000-Code: 9110), bodensaurer Fichtenwälder (NATURA-2000-Code: 9410), Schlucht- und Hangmischwälder (NATURA-2000-Code: 9180), Erlen- und Eschenwälder an Fließgewässern (NATURA-2000-Code: 91E0, prioritärer Lebensraumtyp);</w:t>
      </w:r>
    </w:p>
    <w:p>
      <w:r>
        <w:t xml:space="preserve">3. die Erhaltung eines günstigen Zustands von kieselhaltigen Schutthalden der Berglagen Mitteleuropas (NATURA-2000-Code: 8150), unter anderem wegen ihrer besonderen Bedeutung als Lebensraum gefährdeter Kryptogamengesellschaften sowie spezieller Ausbildungen der Aranaeen- und Coleopterenzönose im Komplex mit Block- und Hangschuttwäldern;</w:t>
      </w:r>
    </w:p>
    <w:p>
      <w:r>
        <w:t xml:space="preserve">4. die Erhaltung der offenen Silikatfelsen mit Felsspaltenvegetation (NATURA-2000-Code: 8220), unter anderem als Lebensraum gefährdeter Kryptogamengesellschaften sowie lichenophager Lepidopteren (zum Beispiel Flechteneulen wie Cryphia domestica ) sowie als Brutplatz für felsenbrütende Vogelarten;</w:t>
      </w:r>
    </w:p>
    <w:p>
      <w:r>
        <w:t xml:space="preserve">5. die Erhaltung und Entwicklung naturnaher Auen- bzw. Flussuferrandbereiche im Süden des NSG als Lebensraum gefährdeter Vogelarten, zum Beispiel Braunkehlchen ( Saxicola rubetra ) oder Neuntöter ( Lanius collurio ), gefährdeter Coleopterenzönosen (zum Beispiel Bembidion articulatum, Bembidion bruxellense, Bembidion gilvipes, Elaphropus quadrisignatus, Helophorus nubilus, Pteroloma forsstromii ) sowie als Nahrungshabitat für nektarsaugende Insektenarten;</w:t>
      </w:r>
    </w:p>
    <w:p>
      <w:r>
        <w:t xml:space="preserve">6. die Erhaltung und Entwicklung eines landschaftsästhetisch einzigartigen, überwiegend bewaldeten, fels- und blockhaldenreichen, tief eingeschnittenen Kerbtals im Bereich eines Flussoberlaufs in seiner besonderen Eigenart;</w:t>
      </w:r>
    </w:p>
    <w:p>
      <w:r>
        <w:t xml:space="preserve">7. die Erhaltung und Entwicklung des Gebiets für die wissenschaftliche, naturgeschichtliche und landeskundliche Forschung wegen des Vorkommens seltener und teilweise hochgradig gefährdeter Phyto- und Zoozönosen, des weiter fortschreitenden Prozesses der Blockhaldenentstehung durch Erosion der Felsbereiche sowie der größtenteils noch vorhandenen Fließgewässerdynamik.</w:t>
      </w:r>
    </w:p>
    <w:p>
      <w:r>
        <w:t xml:space="preserve">(2) Schutzzweck ist zugleich die Sicherung des Schutzgebiets als Gebiet von gemeinschaftlicher Bedeutung als Bestandteil des Europäischen Schutzgebietssystems NATURA 2000 gemäß der FFH-Richtlinie.</w:t>
      </w:r>
    </w:p>
    <w:p>
      <w:r>
        <w:rPr>
          <w:color w:val="555555"/>
          <w:sz w:val="17"/>
        </w:rPr>
        <w:t xml:space="preserve">Zitiervorschlag: § 3 SN-15240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https://recht.nulegal.eu/gesetze/SN-15240/3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