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SN-15237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und Geboten dieser Verordnung kann die Höhere Naturschutzbehörde auf schriftlichen Antrag hin gemäß § 53 SächsNatSchG Befreiung erteilen.</w:t>
      </w:r>
    </w:p>
    <w:p>
      <w:r>
        <w:t xml:space="preserve">(2) Die Befreiung wird durch eine nach anderen Vorschriften notwendige Gestattung ersetzt, wenn diese im Einvernehmen mit der Höheren Naturschutzbehörde erteilt wird.</w:t>
      </w:r>
    </w:p>
    <w:p>
      <w:r>
        <w:rPr>
          <w:color w:val="555555"/>
          <w:sz w:val="17"/>
        </w:rPr>
        <w:t xml:space="preserve">Zitiervorschlag: § 8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