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SN-15237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Naturschutzgebiets „Vordere 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nach Ablauf der Auslegungsfrist gemäß § 2 Abs. 7 in Kraft.</w:t>
      </w:r>
    </w:p>
    <w:p>
      <w:r>
        <w:t xml:space="preserve">Chemnitz, den 9. Oktober 2003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10 SN-15237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https://recht.nulegal.eu/gesetze/SN-15237/10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