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SN-15235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„Polenzwald“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</w:t>
      </w:r>
    </w:p>
    <w:p>
      <w:r>
        <w:t xml:space="preserve">oder</w:t>
      </w:r>
    </w:p>
    <w:p>
      <w:r>
        <w:t xml:space="preserve">b)</w:t>
      </w:r>
    </w:p>
    <w:p>
      <w:r>
        <w:t xml:space="preserve">zu einer nicht gewollten Beeinträchtigung von Natur und Landschaft führen würde</w:t>
      </w:r>
    </w:p>
    <w:p>
      <w:r>
        <w:t xml:space="preserve">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 § 10 Abs. 1 Satz 2 SächsNatSchG gilt entsprechend.</w:t>
      </w:r>
    </w:p>
    <w:p>
      <w:r>
        <w:rPr>
          <w:color w:val="555555"/>
          <w:sz w:val="17"/>
        </w:rPr>
        <w:t xml:space="preserve">Zitiervorschlag: § 7 SN-15235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https://recht.nulegal.eu/gesetze/SN-15235/7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