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SN-15234 (Sachsen) — Erlaubnisvorbehalte</w:t>
      </w:r>
    </w:p>
    <w:p>
      <w:r>
        <w:rPr>
          <w:color w:val="555555"/>
          <w:sz w:val="18"/>
        </w:rPr>
        <w:t xml:space="preserve">Verordnung des Regierungspräsidiums Chemnitz zur Festsetzung des Naturschutzgebietes „Mothäuser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Folgende Maßnahmen, die ebenfalls nachteilige Auswirkungen auf den Schutzzweck nach § 3 in den beiden Zonen des Schutzgebietes haben können, bedürfen der schriftlichen Erlaubnis der unteren Naturschutzbehörde:</w:t>
      </w:r>
    </w:p>
    <w:p>
      <w:r>
        <w:t xml:space="preserve">1. besucherlenkende Maßnahmen wie die Aufstellung von Hinweistafeln, das Anbringen oder das Aufzeichnen von Wege-Markierungen;</w:t>
      </w:r>
    </w:p>
    <w:p>
      <w:r>
        <w:t xml:space="preserve">2. in der Randzone die Einbringung von Kalk, Dünger und Schädlingsbekämpfungsmitteln;</w:t>
      </w:r>
    </w:p>
    <w:p>
      <w:r>
        <w:t xml:space="preserve">3. in der Kernzone die Errichtung von jagdlichen Hochsitzen;</w:t>
      </w:r>
    </w:p>
    <w:p>
      <w:r>
        <w:t xml:space="preserve">4. der Ausbau sowie die sonstige Veränderung von Straßen, Wegen, Plätzen oder anderen Verkehrsanlagen;</w:t>
      </w:r>
    </w:p>
    <w:p>
      <w:r>
        <w:t xml:space="preserve">5. in der Randzone die Durchführung von Veränderungen an stehenden und fließenden Gewässern einschließlich Entwässerungsmaßnahmen;</w:t>
      </w:r>
    </w:p>
    <w:p>
      <w:r>
        <w:t xml:space="preserve">6. an der Görkauer Straße die Beräumung der Straßengräben von Bodenmaterial, einschließlich Torf, sowie Vegetation;</w:t>
      </w:r>
    </w:p>
    <w:p>
      <w:r>
        <w:t xml:space="preserve">(2) Die Erlaubnis ist zu erteilen, wenn die Handlung den Schutzzweck nach § 3 nicht beeinträchtigt und Wirkungen der in § 4 genannten Art nicht zur Folge hat oder solche Wirkungen durch Auflagen oder Bedingungen abgewendet werden können.</w:t>
      </w:r>
    </w:p>
    <w:p>
      <w:r>
        <w:t xml:space="preserve">(3) Die Erlaubnis wird durch eine nach anderen Vorschriften notwendige Gestattung ersetzt, wenn diese im Einvernehmen mit der unteren Naturschutzbehörde erteilt wird.</w:t>
      </w:r>
    </w:p>
    <w:p>
      <w:r>
        <w:rPr>
          <w:color w:val="555555"/>
          <w:sz w:val="17"/>
        </w:rPr>
        <w:t xml:space="preserve">Zitiervorschlag: § 5 SN-15234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https://recht.nulegal.eu/gesetze/SN-15234/5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