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SN-15234 (Sachsen) — Schutzgegenstand</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414,1 Hektar.</w:t>
      </w:r>
    </w:p>
    <w:p>
      <w:r>
        <w:t xml:space="preserve">(2) Die Lage des Naturschutzgebietes wird wie folgt grob beschrieben:</w:t>
      </w:r>
    </w:p>
    <w:p>
      <w:r>
        <w:t xml:space="preserve">Das Naturschutzgebiet befindet sich in einem zirka 1 Kilometer nordwestlich der Ortslage Kühnhaide gelegenen Waldbereich. Im Nordosten wird es durch den Pobershauer Weg, im Südosten durch den Forststeig und ansonsten fast ausnahmslos durch namenlose Waldwege oder Forstschneisen begrenzt.</w:t>
      </w:r>
    </w:p>
    <w:p>
      <w:r>
        <w:t xml:space="preserve">(3) Das Naturschutzgebiet besteht aus einer Kernzone und einer Randzone. Die Kernzone (Flächenumfang: 111,8 Hektar) umfasst den Moorkörper einschließlich periphere Moorstandorte und -reste sowie vom Moor beeinflusste Standorte. Die Randzone (Flächenumfang: 302,3 Hektar) umfasst an die Kernzone angrenzende Waldflächen des hydrologischen Einzugsbereiches des Moores als hydrologische Schutzzone sowie sonstige Waldflächen als Klima-Schutzzone.</w:t>
      </w:r>
    </w:p>
    <w:p>
      <w:r>
        <w:t xml:space="preserve">(4) Das Naturschutzgebiet umfasst gemäß dem Stand der Flurkarte auf dem Gebiet der Stadt Marienberg die Flurstücke 2055 (teilweise), 2056 (teilweise), 2060 (teilweise), 2063 (teilweise), 2067 (teilweise), 2068, 2069, 2076 (teilweise), 2095, 2096, 2100 (teilweise), 2101 (teilweise), 2138, 2139, 2140, 2141 (teilweise), 2142/1, 2143, 2144, 2145, 2147, 2148, 2162/1 (teilweise), 2162/2, 2163, 2164 und 2165 (teilweise), 2168 (teilweise), 2169 und 2170.</w:t>
      </w:r>
    </w:p>
    <w:p>
      <w:r>
        <w:t xml:space="preserve">Die Kernzone des Naturschutzgebietes umfasst gemäß dem Stand der Flurkarte auf dem Gebiet der Stadt Marienberg die Flurstücke 2139 (teilweise), 2140 (teilweise), 2141 (teilweise), 2143 (teilweise), 2144 (teilweise), 2162/2 (teilweise), 2163 (teilweise) und 2164 (teilweise).</w:t>
      </w:r>
    </w:p>
    <w:p>
      <w:r>
        <w:t xml:space="preserve">Die Randzone des Naturschutzgebietes umfasst gemäß dem Stand der Flurkarte auf dem Gebiet der Stadt Marienberg die Flurstücke 2055 (teilweise), 2056 (teilweise), 2060 (teilweise), 2063 (teilweise), 2067 (teilweise), 2068, 2069, 2076 (teilweise) 2095, 2096, 2100 (teilweise), 2101 (teilweise), 2138, 2139 (teilweise), 2140 (teilweise), 2141 (teilweise), 2142/1, 2143 (teilweise), 2144 (teilweise), 2145, 2147, 2148, 2162/1 (teilweise), 2162/2 (teilweise), 2163 (teilweise), 2164 (teilweise), 2165 (teilweise), 2168 (teilweise), 2169 und 2170.</w:t>
      </w:r>
    </w:p>
    <w:p>
      <w:r>
        <w:t xml:space="preserve">Das Naturschutzschutzgebiet umfasst gemäß dem Stand der Forstgrundkarte die Abteilungen 242, 243, 245 (teilweise), 246, 247, 248, 249, 250, 254, 255, 256 (teilweise), 331 (teilweise), 808, 809, 810 (teilweise), 832 (teilweise) und 833 (teilweise).</w:t>
      </w:r>
    </w:p>
    <w:p>
      <w:r>
        <w:t xml:space="preserve">Die Kern- und die Randzone des Naturschutzgebietes beinhalten folgende Abteilungen und Teilflächen (NHB: Nichtholzboden):</w:t>
      </w:r>
    </w:p>
    <w:p>
      <w:r>
        <w:t xml:space="preserve">Kernzone:</w:t>
      </w:r>
    </w:p>
    <w:p>
      <w:r>
        <w:t xml:space="preserve">Abteilung 246 (teilweise): Teilfläche a1, a5 und a6; Abteilung 247 (teilweise): Teilfläche a1, a2 und NHB2 (teilweise); Abteilung 248 (teilweise): Teilfläche a1 und a2; Abteilung 249 (teilweise): Teilfläche a1, a2 und a3; Abteilung 254 (Teilbereich Privatwald): Teilfläche a3 und NHB1; Abteilung 255 (Teilbereich Privatwald): Teilfläche a4, a5, a6, a7, a8 und NHB2 (teilweise).</w:t>
      </w:r>
    </w:p>
    <w:p>
      <w:r>
        <w:t xml:space="preserve">Randzone:</w:t>
      </w:r>
    </w:p>
    <w:p>
      <w:r>
        <w:t xml:space="preserve">Abteilung 242: Teilfläche a1, a2 und NHB1; Abteilung 243: Teilfläche a1, a2, a3, a4, a5, NHB1 und NHB2 (teilweise); Abteilung 245 (teilweise): Teilfläche a1; Abteilung 246 (teilweise): Teilfläche a2, a3, a4 und NHB1; Abteilung 247 (teilweise): Teilfläche a3, a4, NHB1 und NHB2 (teilweise); Abteilung 248 (teilweise): Teilfläche a3 und NHB1; Abteilung 249 (teilweise): Teilfläche a4, a5 und NHB1; Abteilung 250: Teilfläche a1, a2, a3, a4, a5, a6, a7, NHB1 und NHB2; Abteilung 254 (Teilbereich Landeswald): Teilfläche a1, a2, a3, a4, a5, a6, a7, a8, NHB1 und NHB3; Abteilung 254 (Teilbereich Privatwald): Teilfläche a1 und a2; Abteilung 255 (Teilbereich Landeswald): Teilfläche a1, a2, a3, a4 und NHB2; Abteilung 255 (Teilbereich Privatwald): Teilfläche a1, a2, a3, NHB1 und NHB2 (teilweise); Abteilung 256 (teilweise): Teilfläche a1, a2, a3, a4, a5, a6, NHB1, NHB2 und NHB3; Abteilung 331 (teilweise): Teilfläche a1 und a2; Abteilung 808: Teilfläche a1, a2, a3 und a4; Abteilung 809: Teilfläche a1, a2 und NHB1; Abteilung 810 (teilweise): Teilfläche a1, a2, a3, NHB1 (teilweise) und NHB2; Abteilung 832 (teilweise): Teilfläche a1, a2, a3 und NHB1; Abteilung 833 (teilweise): Teilfläche a1, a2 und a3.</w:t>
      </w:r>
    </w:p>
    <w:p>
      <w:r>
        <w:t xml:space="preserve">(5) Die Grenze des Naturschutzgebietes ist in einer Übersichtskarte des Regierungspräsidiums Chemnitz vom 6. März 2003 im Maßstab 1:10 000 sowie in einer Flurkarte des Regierungspräsidiums Chemnitz vom 6. März 2003 im Maßstab 1:5 000 als rote Linie eingetragen.</w:t>
      </w:r>
    </w:p>
    <w:p>
      <w:r>
        <w:t xml:space="preserve">In den vorgenannten Karten ist die Grenze zwischen der Kernzone und der Randzone des Naturschutzgebietes als grüne Linie eingetragen.</w:t>
      </w:r>
    </w:p>
    <w:p>
      <w:r>
        <w:t xml:space="preserve">Die äußere Grenze und die Zonierung des Schutzgebietes sind außerdem in einer Forstgrundkarte des Regierungspräsidiums Chemnitz vom 6. März 2003 im Maßstab 1 : 10 000 eingetragen.</w:t>
      </w:r>
    </w:p>
    <w:p>
      <w:r>
        <w:t xml:space="preserve">Soweit sich auf der Flurkarte die rote oder grüne Grenzlinie mit Flurstücksgrenzen deckt, bildet die jeweilige Flurstücksgrenze die Schutzgebiets- beziehungsweise Zonierungsgrenze. Ansonsten bestimmt die Linienaußenkante die Grenze des Schutzgebietes beziehungsweise der Kernzone.</w:t>
      </w:r>
    </w:p>
    <w:p>
      <w:r>
        <w:t xml:space="preserve">Maßgebend für die Bestimmung des räumlichen Geltungsbereiches des Schutzgebietes und seiner Zonierung ist die Abgrenzung auf der Flurkarte.</w:t>
      </w:r>
    </w:p>
    <w:p>
      <w:r>
        <w:t xml:space="preserve">Die Karten sind Bestandteil dieser Verordnung.</w:t>
      </w:r>
    </w:p>
    <w:p>
      <w:r>
        <w:t xml:space="preserve">(6) Die Verordnung mit Karten wird beim Regierungspräsidium Chemnitz in 09120 Chemnitz, Altchemnitzer Straße 41, Raum 314, auf die Dauer von zwei Wochen nach Verkündigung dieser Verordnung im Sächsischen Amtsblatt zur kostenlosen Einsicht durch jedermann während der Sprechzeiten öffentlich ausgelegt.</w:t>
      </w:r>
    </w:p>
    <w:p>
      <w:r>
        <w:t xml:space="preserve">(7) Die Verordnung mit Karten ist nach Ablauf der Auslegungsfrist beim Regierungspräsidium Chemnitz, in 09120 Chemnitz, Altchemnitzer Straße 41, Raum 302, zur kostenlosen Einsicht durch jedermann während der Sprechzeiten niedergelegt.</w:t>
      </w:r>
    </w:p>
    <w:p>
      <w:r>
        <w:rPr>
          <w:color w:val="555555"/>
          <w:sz w:val="17"/>
        </w:rPr>
        <w:t xml:space="preserve">Zitiervorschlag: § 2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