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SN-15234 (Sachsen) — In-Kraft-Treten</w:t>
      </w:r>
    </w:p>
    <w:p>
      <w:r>
        <w:rPr>
          <w:color w:val="555555"/>
          <w:sz w:val="18"/>
        </w:rPr>
        <w:t xml:space="preserve">Verordnung des Regierungspräsidiums Chemnitz zur Festsetzung des Naturschutzgebietes „Mothäuser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im Sinne von § 2 Abs. 6 in Kraft.</w:t>
      </w:r>
    </w:p>
    <w:p>
      <w:r>
        <w:t xml:space="preserve">(2) Die gemäß § 64 Abs. 1 SächsNatSchG in Verbindung mit Artikel 1 § 2 Abs. 1 des Rechtsbereinigungsgesetzes des Freistaates Sachsen übergeleitete Anordnung des Ministers für Landwirtschaft, Erfassung und Forstwirtschaft vom 30. März 1961 (GBl. II DDR S. 166) sowie die Verordnung des Regierungspräsidiums Chemnitz zur Verlängerung der Geltungsdauer sowie zur sachlichen Änderung der Verordnung des Regierungspräsidiums Chemnitz zur einstweiligen Sicherstellung des Naturschutzgebietes „Mothäuser Heide – Erweiterung“ vom 14. Januar 2002 (SächsGVBl. S. 63) treten mit In-Kraft-Treten dieser Verordnung außer Kraft.</w:t>
      </w:r>
    </w:p>
    <w:p>
      <w:r>
        <w:t xml:space="preserve">Chemnitz, den 6. März 2003</w:t>
      </w:r>
    </w:p>
    <w:p>
      <w:r>
        <w:t xml:space="preserve">Regierungspräsidium Chemnitz</w:t>
      </w:r>
    </w:p>
    <w:p>
      <w:r>
        <w:t xml:space="preserve">Noltze</w:t>
      </w:r>
    </w:p>
    <w:p>
      <w:r>
        <w:t xml:space="preserve">Regierungspräsident</w:t>
      </w:r>
    </w:p>
    <w:p>
      <w:r>
        <w:t xml:space="preserve">Übersichtskarte</w:t>
      </w:r>
    </w:p>
    <w:p>
      <w:r>
        <w:rPr>
          <w:color w:val="555555"/>
          <w:sz w:val="17"/>
        </w:rPr>
        <w:t xml:space="preserve">Zitiervorschlag: § 10 SN-15234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SN-15234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