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SN-15233 (Sachsen) — Schutzmaßnahmen</w:t>
      </w:r>
    </w:p>
    <w:p>
      <w:r>
        <w:rPr>
          <w:color w:val="555555"/>
          <w:sz w:val="18"/>
        </w:rPr>
        <w:t xml:space="preserve">Verordnung des Regierungspräsidiums Leipzig zur Festsetzung des Naturschutzgebietes „Paupitzscher 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Naturschutzgebiet ist dauerhaft als Prozessschutzgebiet zu erhalten. Alle Lebensräume und Lebensgemeinschaften sind vollständig in ihrer natürlichen Entwicklung und ohne direkte menschliche Einflussnahme sich selbst zu überlassen.</w:t>
      </w:r>
    </w:p>
    <w:p>
      <w:r>
        <w:t xml:space="preserve">(2) Zum Erreichen des Schutzzweckes nach § 3 und nach Maßgabe von §§ 4 und 5 ist es insbesondere erforderlich, Möglichkeiten, in das Gebiet zu gelangen, durch angemessene Absperrmaßnahmen zu verhindern.</w:t>
      </w:r>
    </w:p>
    <w:p>
      <w:r>
        <w:rPr>
          <w:color w:val="555555"/>
          <w:sz w:val="17"/>
        </w:rPr>
        <w:t xml:space="preserve">Zitiervorschlag: § 6 SN-15233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https://recht.nulegal.eu/gesetze/SN-15233/6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