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SN-15231 (Sachsen) — Schutzgegenstand</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31,1 ha.</w:t>
      </w:r>
    </w:p>
    <w:p>
      <w:r>
        <w:t xml:space="preserve">(2) Das sich am Elbtalhang zwischen Rottewitz und Zadel erstreckende Naturschutzgebiet besteht aus zwei Teilbereichen westlich und östlich der Gemeindestraße vom Ortsteil Karpfenschänke nach Diera. Bestandteile des Naturschutzgebietes sind aufgelassene Steinbrüche, bewaldete Steilhänge, Streuobstwiesen sowie Trockenrasen im Außenbereich zwischen der Straße im Elbtal im Süden und den Rebflächen auf dem Plateau im Norden. Bewirtschaftete Weinberge befinden sich nicht im Naturschutzgebiet.</w:t>
      </w:r>
    </w:p>
    <w:p>
      <w:r>
        <w:t xml:space="preserve">(3) Die Grenzen des Schutzgebietes sind in einer Übersichtskarte vom 25. Oktober 2002 im Maßstab 1 : 10 000 und in fünf Flurkarten vom 25. Oktober 2002 im Maßstab 1 : 2 000 eingetragen. Maßgebend für den Grenzverlauf ist die Linienaußenkante der Grenzeintragungen in den Flurkarten. Die Karten sind Bestandteil der Verordnung. Die Verordnung wird zusammen mit der Übersichtskarte im Sächsischen Amtsblatt verkündet. Die Verordnung mit Karten ist beim Regierungspräsidium Dresden, in 01099 Dresden, Stauffenbergallee 2, im Raum 3089,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