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SN-15229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„Pfarrholz Groitzsch“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gilt entsprechend.</w:t>
      </w:r>
    </w:p>
    <w:p>
      <w:r>
        <w:rPr>
          <w:color w:val="555555"/>
          <w:sz w:val="17"/>
        </w:rPr>
        <w:t xml:space="preserve">Zitiervorschlag: § 7 SN-15229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https://recht.nulegal.eu/gesetze/SN-15229/7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