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SN-15227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„Innenkippe Nochten“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</w:t>
      </w:r>
    </w:p>
    <w:p>
      <w:r>
        <w:t xml:space="preserve">1. die Erhaltung der Leistungsfähigkeit des Naturhaushaltes,</w:t>
      </w:r>
    </w:p>
    <w:p>
      <w:r>
        <w:t xml:space="preserve">2. das Zulassen der natürlichen Entwicklung von Lebensgemeinschaften und Biotopen wild lebender Tier- und Pflanzenarten auf Sukzessionsflächen, welche von weiteren menschlichen Einwirkungen weitestgehend unbeeinflusst bleiben sowie der Schutz einer der größten Kreuzkrötenpopulationen Sachsens,</w:t>
      </w:r>
    </w:p>
    <w:p>
      <w:r>
        <w:t xml:space="preserve">3. der Schutz gefährdeter Vogelarten wie Dorngrasmücke, Steinschmätzer und Neuntöter sowie des vom Aussterben bedrohten Birkhuhns durch Offenhaltung ausgewählter Flächen,</w:t>
      </w:r>
    </w:p>
    <w:p>
      <w:r>
        <w:t xml:space="preserve">4. in der vom Braunkohletagebau stark beeinträchtigten Region um Weißwasser Ersatz für beseitigte Lebensräume zu schaffen,</w:t>
      </w:r>
    </w:p>
    <w:p>
      <w:r>
        <w:t xml:space="preserve">5. Teile eines ökologischen Verbundsystems einzurichten,</w:t>
      </w:r>
    </w:p>
    <w:p>
      <w:r>
        <w:t xml:space="preserve">6. Monitoringprogramme durchzuführen, die Aufschluss geben über geeignete Methoden zur schnellstmöglichen Renaturierung devastierter Flächen und</w:t>
      </w:r>
    </w:p>
    <w:p>
      <w:r>
        <w:t xml:space="preserve">7. die Erhaltung, Pflege und Entwicklung naturnaher Waldgesellschaften, einschließlich der hier lebenden Tier- und Pflanzenarten.</w:t>
      </w:r>
    </w:p>
    <w:p>
      <w:r>
        <w:rPr>
          <w:color w:val="555555"/>
          <w:sz w:val="17"/>
        </w:rPr>
        <w:t xml:space="preserve">Zitiervorschlag: § 3 SN-15227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