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SN-15226 (Sachsen)</w:t>
      </w:r>
    </w:p>
    <w:p>
      <w:r>
        <w:rPr>
          <w:color w:val="555555"/>
          <w:sz w:val="18"/>
        </w:rPr>
        <w:t xml:space="preserve">Verordnung des Regierungspräsidiums Dresden zur Festsetzung des Naturschutzgebietes „Hohe Dubrau“</w:t>
      </w:r>
    </w:p>
    <w:p>
      <w:r>
        <w:rPr>
          <w:color w:val="555555"/>
          <w:sz w:val="18"/>
        </w:rPr>
        <w:t xml:space="preserve">Landesrecht Sachsen</w:t>
      </w:r>
    </w:p>
    <w:p>
      <w:r>
        <w:rPr>
          <w:color w:val="555555"/>
          <w:sz w:val="18"/>
        </w:rPr>
        <w:t xml:space="preserve">Stand: 26.08.2026 (konsolidierte Textfassung, kein amtliches Inkrafttretensdatum)</w:t>
      </w:r>
    </w:p>
    <w:p>
      <w:r>
        <w:t xml:space="preserve">Auf Grund von § 16 und § 50 Abs. 1 Nr. 2 des Sächsischen Gesetzes über Naturschutz und Landschaftspflege (Sächsisches Naturschutzgesetz – SächsNatSchG ) in der Fassung der Bekanntmachung vom 11. Oktober 1994 (SächsGVBl. S. 1601, 1995 S. 106), das zuletzt durch Artikel 2 des Gesetzes vom 14. Dezember 2001 (SächsGVBl. S. 716, 723) geändert worden ist, und § 32 Abs. 1 Sächsisches Landesjagdgesetz ( SächsLJagdG ) vom 8. Mai 1991 (SächsGVBl. S. 67), das zuletzt durch Artikel 50 des Gesetzes vom 28. Juni 2001 (SächsGVBl. S. 426, 430) geändert worden ist, wird im Einvernehmen mit der höheren Jagdbehörde verordnet:</w:t>
      </w:r>
    </w:p>
    <w:p>
      <w:r>
        <w:rPr>
          <w:color w:val="555555"/>
          <w:sz w:val="17"/>
        </w:rPr>
        <w:t xml:space="preserve">Zitiervorschlag: Eingangsformel SN-15226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https://recht.nulegal.eu/gesetze/SN-15226/eingangsformel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