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SN-15226 (Sachsen) — Pflege- und Entwicklungsgrundsätze</w:t>
      </w:r>
    </w:p>
    <w:p>
      <w:r>
        <w:rPr>
          <w:color w:val="555555"/>
          <w:sz w:val="18"/>
        </w:rPr>
        <w:t xml:space="preserve">Verordnung des Regierungspräsidiums Dresden zur Festsetzung des Naturschutzgebietes „Hohe Dubrau“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Grundsätze der Pflege und Entwicklung des Naturschutzgebietes sind,</w:t>
      </w:r>
    </w:p>
    <w:p>
      <w:r>
        <w:t xml:space="preserve">1. die Waldflächen in der Sonderschutzzone ihrer natürlichen Sukzession zu überlassen;</w:t>
      </w:r>
    </w:p>
    <w:p>
      <w:r>
        <w:t xml:space="preserve">2. die übrigen Waldflächen mit dem Ziel zu bewirtschaften, eine naturnahe Artenkombination aller Altersphasen zu erreichen; dabei sind</w:t>
      </w:r>
    </w:p>
    <w:p>
      <w:r>
        <w:t xml:space="preserve">a)</w:t>
      </w:r>
    </w:p>
    <w:p>
      <w:r>
        <w:t xml:space="preserve">auf potentiellen Standorten die Entwicklung von Feuchtwäldern zu fördern und</w:t>
      </w:r>
    </w:p>
    <w:p>
      <w:r>
        <w:t xml:space="preserve">b)</w:t>
      </w:r>
    </w:p>
    <w:p>
      <w:r>
        <w:t xml:space="preserve">ein hoher Anteil an Bäumen mit besonderen Vorkommen von Epiphyten, Insekten, Pilzen, stehend abgestorbene Einzelbäume, gebrochene oder umgestürzte Totbäume wie auch Einzelwürfe im Wald zu belassen;</w:t>
      </w:r>
    </w:p>
    <w:p>
      <w:r>
        <w:t xml:space="preserve">3. die strukturreichen Waldaußen- und -innenränder sowie die Trockenrasensäume zu erhalten und an potentiellen Standorten mit standortgerechten heimischen Arten zu entwickeln;</w:t>
      </w:r>
    </w:p>
    <w:p>
      <w:r>
        <w:t xml:space="preserve">4. den Quellbereich des Wolfsschluchtbaches einschließlich seiner Umgebung zu renaturieren;</w:t>
      </w:r>
    </w:p>
    <w:p>
      <w:r>
        <w:t xml:space="preserve">5. die kleinflächig eingeschlossenen Feucht- und Nasswiesen extensiv zu pflegen;</w:t>
      </w:r>
    </w:p>
    <w:p>
      <w:r>
        <w:t xml:space="preserve">6. das mesophile Grünland durch eine extensive Nutzung zu mageren Feucht- oder Frischwiesen zu entwickeln;</w:t>
      </w:r>
    </w:p>
    <w:p>
      <w:r>
        <w:t xml:space="preserve">7. die Streuobstwiese einschließlich ihrer den Unterwuchs bildenden Wiesengesellschaften durch extensive Nutzung und Pflege zu erhalten und zu entwickeln;</w:t>
      </w:r>
    </w:p>
    <w:p>
      <w:r>
        <w:t xml:space="preserve">8. die kleinen aufgelassenen Teiche ihrer natürlichen Verlandung und Zwischenmoorentwicklung zu überlassen.</w:t>
      </w:r>
    </w:p>
    <w:p>
      <w:r>
        <w:t xml:space="preserve">(2) Die erforderlichen Pflege- und Entwicklungsmaßnahmen werden in einem Pflege- und Entwicklungsplan festgelegt. Auf den § 15 Abs. 5, die §§ 38 und 39 SächsNatSchG wird verwiesen.</w:t>
      </w:r>
    </w:p>
    <w:p>
      <w:r>
        <w:rPr>
          <w:color w:val="555555"/>
          <w:sz w:val="17"/>
        </w:rPr>
        <w:t xml:space="preserve">Zitiervorschlag: § 6 SN-15226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https://recht.nulegal.eu/gesetze/SN-15226/6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SN-15226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