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SN-15225 (Sachsen) — Befreiungen und Genehmigungen</w:t>
      </w:r>
    </w:p>
    <w:p>
      <w:r>
        <w:rPr>
          <w:color w:val="555555"/>
          <w:sz w:val="18"/>
        </w:rPr>
        <w:t xml:space="preserve">Verordnung des Regierungspräsidiums Dresden zur Festsetzung des Naturschutzgebietes „Kutschgeteich Moritzburg“</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SN-15225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