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SN-15225 (Sachsen) — Pflege- und Entwicklungsgrundsätze</w:t>
      </w:r>
    </w:p>
    <w:p>
      <w:r>
        <w:rPr>
          <w:color w:val="555555"/>
          <w:sz w:val="18"/>
        </w:rPr>
        <w:t xml:space="preserve">Verordnung des Regierungspräsidiums Dresden zur Festsetzung des Naturschutzgebietes „Kutschgeteich Moritzburg“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Grundsätze der Pflege und Entwicklung sind</w:t>
      </w:r>
    </w:p>
    <w:p>
      <w:r>
        <w:t xml:space="preserve">1. die Entwicklung eines artenreichen Nass- und Feuchtgrünlandes auf der Kanalwiese durch extensive Bewirtschaftung mit Abtransport des Mähgutes;</w:t>
      </w:r>
    </w:p>
    <w:p>
      <w:r>
        <w:t xml:space="preserve">2. die Entwicklung von Bruchwald sowie feuchtem und frischen Laubmischwald durch Sukzession;</w:t>
      </w:r>
    </w:p>
    <w:p>
      <w:r>
        <w:t xml:space="preserve">3. die Entwicklung und Neuanlage von Kleingewässern mit unterschiedlichen Sukzessionsstadien;</w:t>
      </w:r>
    </w:p>
    <w:p>
      <w:r>
        <w:t xml:space="preserve">4. die Erhaltung und Entwicklung einer nährstoffarmen Wasserqualität durch regelmäßige Entschlammung des Kanales;</w:t>
      </w:r>
    </w:p>
    <w:p>
      <w:r>
        <w:t xml:space="preserve">5. die Regulierung der Stauhöhe am Ablassbauwerk des Kutschgeteiches zur Optimierung der Lebensraumbedingungen für Sumpf- und Wasservögel, insbesondere die Sicherung eines schwankungsfreien Hochstaus im Zeitraum vom 1. April bis zum 1</w:t>
      </w:r>
    </w:p>
    <w:p>
      <w:r>
        <w:t xml:space="preserve">5. Juli und im übrigen Zeitraum eines Niedrigstaus.</w:t>
      </w:r>
    </w:p>
    <w:p>
      <w:r>
        <w:t xml:space="preserve">(2) Die erforderlichen Pflege- und Entwicklungsmaßnahmen können in einem Pflege- und Entwicklungsplan festgelegt werden. Auf die § 15 Abs. 5, §§ 38 und 39 SächsNatSchG wird verwiesen.</w:t>
      </w:r>
    </w:p>
    <w:p>
      <w:r>
        <w:rPr>
          <w:color w:val="555555"/>
          <w:sz w:val="17"/>
        </w:rPr>
        <w:t xml:space="preserve">Zitiervorschlag: § 6 SN-15225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https://recht.nulegal.eu/gesetze/SN-15225/6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