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SN-15225 (Sachsen) — Schutzgegenstand</w:t>
      </w:r>
    </w:p>
    <w:p>
      <w:r>
        <w:rPr>
          <w:color w:val="555555"/>
          <w:sz w:val="18"/>
        </w:rPr>
        <w:t xml:space="preserve">Verordnung des Regierungspräsidiums Dresden zur Festsetzung des Naturschutzgebietes „Kutschgeteich Moritzburg“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14,14 ha.</w:t>
      </w:r>
    </w:p>
    <w:p>
      <w:r>
        <w:t xml:space="preserve">(2) Das Schutzgebiet umfasst nach dem Stand der Flurkarten vom 8. Juli 1994 auf dem Gebiet der Gemeinde Moritzburg, Gemarkung Moritzburg, die Flurstücke 331 teilweise, 332, 333 teilweise, 628, 629, 630, 631, 632, 633, 634, 635, 636, 637, 638, 639, 640, 641, 642, 643, 644, 645, 646, 647, 648, 649, 651, 652, 653, 654, 655, 656, 657, 658, 659, 660, 661, 662, 663, 664, 665, 666, 667, 668, 669, 670, 671, 672, 673, 674, 675, 676, 677, 678, 679, 680, 681, 682, 683, 684, 685, 686, 687, 688, 689, 690, 691, 692 teilweise, 693, 694, 695, 696, 697, 698, 699, 700, 701, 702, 703, 704, 705, 706, 707, 708, 709, 710, 711, 712, 713, 714, 715, 729, 730, 731, 732, 733, 734, 735, 736, 737, 738, 739, 740, 741, 742, 743, 744, 745, 746, 747, 748, 749, 750, 751, 752, 753, 754, 755, 756, 757, 758, 759, 760, 761, 762, 763, 764, 765, 766, 767, 768, 769, 770, 771, 772, 773, 774, 775, 776, 777 teilweise, 779 teilweise, 780, 781, 782, 783, 784, 785, 786, 787, 788, 789, 790, 791, 792, 793, 794, 795, 796, 797, 798, 799, 800, 801, 802, 803, 804, 805, 806, 807, 808, 809, 810, 811/1 teilweise, 811/2, 812, 813 teilweise.</w:t>
      </w:r>
    </w:p>
    <w:p>
      <w:r>
        <w:t xml:space="preserve">(3) Die Grenzen des Schutzgebietes sind in einer Übersichtskarte vom 9. Januar 2002 im Maßstab 1 : 10 000 und in zwei Flurkarten vom 13. Dezember 2001 im Maßstab 1 : 2 000 eingetragen. Maßgebend für den Grenzverlauf ist die Linienaußenkante der Grenzeintragungen in den Flurkarten. Die Karten sind Bestandteil der Verordnung. Die Verordnung wird zusammen mit der Übersichtskarte im Sächsischen Amtsblatt verkündet. Die Verordnung mit Karten ist beim Regierungspräsidium Dresden, in 01099 Dresden, Stauffenbergallee 2, auf die Dauer von zwei Wochen nach der Verkündung im Sächsischen Amtsblatt zur kostenlosen Einsicht durch jedermann während der Sprechzeiten öffentlich ausgelegt.</w:t>
      </w:r>
    </w:p>
    <w:p>
      <w:r>
        <w:t xml:space="preserve">(4) Die Verordnung mit Karten wird nach Ablauf der Auslegungsfrist beim Regierungspräsidium Dresden zur kostenlosen Einsicht durch jedermann während der Sprechzeiten niedergelegt.</w:t>
      </w:r>
    </w:p>
    <w:p>
      <w:r>
        <w:rPr>
          <w:color w:val="555555"/>
          <w:sz w:val="17"/>
        </w:rPr>
        <w:t xml:space="preserve">Zitiervorschlag: § 2 SN-15225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https://recht.nulegal.eu/gesetze/SN-15225/2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