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SN-15215 (Sachsen) — In- 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DieseVerordnung tritt am Tage nach ihrerVerkündung in Kraft.</w:t>
      </w:r>
    </w:p>
    <w:p>
      <w:r>
        <w:t xml:space="preserve">Chemnitz, den 27. Oktober 2003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t xml:space="preserve">Flurkarte</w:t>
      </w:r>
    </w:p>
    <w:p>
      <w:r>
        <w:rPr>
          <w:color w:val="555555"/>
          <w:sz w:val="17"/>
        </w:rPr>
        <w:t xml:space="preserve">Zitiervorschlag: § 3 SN-15215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https://recht.nulegal.eu/gesetze/SN-15215/3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