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SN-15189 (Sachsen) — In-Kraft-Treten und Außer-Kraft-Treten</w:t>
      </w:r>
    </w:p>
    <w:p>
      <w:r>
        <w:rPr>
          <w:color w:val="555555"/>
          <w:sz w:val="18"/>
        </w:rPr>
        <w:t xml:space="preserve">Verordnung des Regierungspräsidiums Dresden zur Festsetzung des Naturschutzgebietes „Hofehübel Bärenfels“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gemäß § 2 Abs. 3 Satz 4 in Kraft. Gleichzeitig tritt die Anordnung Nummer 1 über Naturschutzgebiete des Ministers für Landwirtschaft, Erfassung und Forstwirtschaft der DDR vom 30. März 1961 (GBl. DDR II S. 166), soweit sie das Naturschutzgebiet „Hofehübel“ betrifft, außer Kraft.</w:t>
      </w:r>
    </w:p>
    <w:p>
      <w:r>
        <w:t xml:space="preserve">Dresden, den 30. Oktober 2001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Regierungspräsident</w:t>
      </w:r>
    </w:p>
    <w:p>
      <w:r>
        <w:t xml:space="preserve">Übersichtskarte</w:t>
      </w:r>
    </w:p>
    <w:p>
      <w:r>
        <w:rPr>
          <w:color w:val="555555"/>
          <w:sz w:val="17"/>
        </w:rPr>
        <w:t xml:space="preserve">Zitiervorschlag: § 9 SN-15189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https://recht.nulegal.eu/gesetze/SN-15189/9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