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SN-15189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„Hofehübel Bärenfels“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</w:t>
      </w:r>
    </w:p>
    <w:p>
      <w:r>
        <w:t xml:space="preserve">1. die großflächige Förderung der natürlichen Sukzession und dynamischer Vorgänge in naturnahen Waldbeständen bei besonderer Förderung der Weißtanne;</w:t>
      </w:r>
    </w:p>
    <w:p>
      <w:r>
        <w:t xml:space="preserve">2. die langfristige Erhaltung der Altbäume und deren Entwicklung zu totholz- und höhlenreichen Dauerwäldern mit möglichst hohem Altholzanteil;</w:t>
      </w:r>
    </w:p>
    <w:p>
      <w:r>
        <w:t xml:space="preserve">3. die Förderung der Naturverjüngung in bedingt naturnahen Waldbeständen durch gruppen- und einzelstammweise Entnahme zur Auflichtung der Bestände;</w:t>
      </w:r>
    </w:p>
    <w:p>
      <w:r>
        <w:t xml:space="preserve">4. die schrittweise Zurückdrängung gebietsfremder Baumarten sowie der Umbau von Lärchen-Restbestockungen in naturnahe Waldgesellschaften, insbesondere durch die Förderung der Naturverjüngung von Rotbuche, Bergahorn, Esche und Ulme sowie das Einbringen der Weißtanne;</w:t>
      </w:r>
    </w:p>
    <w:p>
      <w:r>
        <w:t xml:space="preserve">5. die Entwicklung stabiler, altersdifferenzierter, mehrstufiger Dauerwaldstrukturen durch gruppen- und einzelstammweise Entnahme;</w:t>
      </w:r>
    </w:p>
    <w:p>
      <w:r>
        <w:t xml:space="preserve">6. die natürliche Anreicherung des Totholzes, insbesondere in totholzarmen Waldbeständen;</w:t>
      </w:r>
    </w:p>
    <w:p>
      <w:r>
        <w:t xml:space="preserve">7. die Förderung reich strukturierter Waldränder;</w:t>
      </w:r>
    </w:p>
    <w:p>
      <w:r>
        <w:t xml:space="preserve">8. die Nutzung von boden- und bestandsschonenden Methoden bei allen forstlichen Pflege- und Entwicklungsmaßnahmen, vor allem im Bereich der Alt-Waldstandorte im Ostteil;</w:t>
      </w:r>
    </w:p>
    <w:p>
      <w:r>
        <w:t xml:space="preserve">9. die Unterhaltung des bestehenden Wegesystems ohne weiteren Neu- und Ausbau;</w:t>
      </w:r>
    </w:p>
    <w:p>
      <w:r>
        <w:t xml:space="preserve">10. die einschürige Mahd der artenreichen Berg- und Nasswiesen;</w:t>
      </w:r>
    </w:p>
    <w:p>
      <w:r>
        <w:t xml:space="preserve">11. der Rückbau des Wildfütterungskomplexes an der Zinnstraße.</w:t>
      </w:r>
    </w:p>
    <w:p>
      <w:r>
        <w:t xml:space="preserve">(2) Die erforderlichen Pflege- und Entwicklungsmaßnahmen können in einem Pflege- und Entwicklungsplan festgelegt werden. Auf die § 15 Abs. 5, §§ 38 und 39 SächsNatSchG wird verwiesen.</w:t>
      </w:r>
    </w:p>
    <w:p>
      <w:r>
        <w:rPr>
          <w:color w:val="555555"/>
          <w:sz w:val="17"/>
        </w:rPr>
        <w:t xml:space="preserve">Zitiervorschlag: § 6 SN-15189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