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SN-15187 (Sachsen) — Grundsätze der Pflege und Entwicklung</w:t>
      </w:r>
    </w:p>
    <w:p>
      <w:r>
        <w:rPr>
          <w:color w:val="555555"/>
          <w:sz w:val="18"/>
        </w:rPr>
        <w:t xml:space="preserve">Verordnung des Regierungspräsidiums Leipzig zur Festsetzung des Naturschutzgebietes „Reudnitz“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Zum Erreichen des Schutzzweckes nach § 3 und nach Maßgabe der §§ 4 und 5 dieser Verordnung ist zur dauerhaften Sicherung und Weiterentwicklung der Schutzwürdigkeit des Naturschutzgebietes</w:t>
      </w:r>
    </w:p>
    <w:p>
      <w:r>
        <w:t xml:space="preserve">1. die naturnahe Entwicklung des Teichgebietes sowie angrenzender bewaldeter Versumpfungsbereiche zu sichern;</w:t>
      </w:r>
    </w:p>
    <w:p>
      <w:r>
        <w:t xml:space="preserve">2. für die Offenlandstrukturen eine extensive Grünlandnutzung beziehungsweise Landschaftspflege einzuführen beziehungsweise fortzusetzen;</w:t>
      </w:r>
    </w:p>
    <w:p>
      <w:r>
        <w:t xml:space="preserve">3. eine Bewirtschaftung der Waldflächen mit dem Ziel einzuführen beziehungsweise fortzusetzen, naturnahe Waldparzellen zu erhalten und durch forstliche Maßnahmen auf der Grundlage einvernehmlich zwischen den Bewirtschaftern, Forst- und Naturschutzbehörden abgestimmter periodischer Betriebs- oder Bewirtschaftungspläne zu entwickeln;</w:t>
      </w:r>
    </w:p>
    <w:p>
      <w:r>
        <w:t xml:space="preserve">4. die nicht naturnah bestockten Waldbereiche so zu nutzen, dass langfristig ein Umbau in naturnahe, standortgerechte Waldgesellschaften (Hainsimsen-Buchenwald, Traubeneichen-Buchenwald und Pfeifengras-Waldkiefern-Stieleichenwald und weitere) erfolgt;</w:t>
      </w:r>
    </w:p>
    <w:p>
      <w:r>
        <w:t xml:space="preserve">5. der Kiefernsaatgutbestand auf Flurstück 582/1, Gemarkung Olganitz [Forstabteilung 128] forstlich pfleglich, das heißt unter Erhaltung des bestehenden Laubholzanteils zu nutzen;</w:t>
      </w:r>
    </w:p>
    <w:p>
      <w:r>
        <w:t xml:space="preserve">6. eine für die Erhaltung des Lebensraumes und der Reproduktion insbesondere der Amphibien und Libellen sowie anderer an Gewässer gebundene Tierarten notwendige Gewässerstruktur der Teiche zu erhalten;</w:t>
      </w:r>
    </w:p>
    <w:p>
      <w:r>
        <w:t xml:space="preserve">7. die fischereiliche Bewirtschaftung weiterhin so zu gestalten, dass die erforderliche Habitatqualität auch für die hinsichtlich des Fischbesatzes empfindlichen Taxa der Amphibien und Libellen erhalten bleibt;</w:t>
      </w:r>
    </w:p>
    <w:p>
      <w:r>
        <w:t xml:space="preserve">8. der Grundwasserhaushalt der an die Teiche und Fließgewässer angrenzenden Flächen durch geeignete Maßnahmen sukzessive in einen naturnahen Zustand zu überführen;</w:t>
      </w:r>
    </w:p>
    <w:p>
      <w:r>
        <w:t xml:space="preserve">9. eine Konzeption zur Besucherlenkung und zur naturverträglichen, dem Schutzzweck entsprechenden Erholung zu erstellen und umzusetzen.</w:t>
      </w:r>
    </w:p>
    <w:p>
      <w:r>
        <w:t xml:space="preserve">(2) Der zu erstellende, naturschutzfachlich abzustimmende und fortzuschreibende Pflege- und Entwicklungsplan dient der Konkretisierung der in Absatz 1 aufgeführten Entwicklungsziele und bildet eine Grundlage für Pflege- und Entwicklungsmaßnahmen. Für die Bewirtschaftung der Forst- beziehungsweise Teichflächen entsprechen die nach § 5 geforderten Bewirtschaftungskonzepte inhaltlich dem entsprechenden Maßnahmeteil des Pflege- und Entwicklungsplans.</w:t>
      </w:r>
    </w:p>
    <w:p>
      <w:r>
        <w:t xml:space="preserve">(3) Die Durchführung der im Pflege- und Entwicklungsplan enthaltenen Maßnahmen sind von Eigentümern und Nutzungsberechtigten gemäß §15 Abs. 5 SächsNatSchG zu dulden, sofern sie die Durchführung der Maßnahmen nicht selbst übernehmen.</w:t>
      </w:r>
    </w:p>
    <w:p>
      <w:r>
        <w:t xml:space="preserve">(4) Entschädigungsansprüche und Härtefallausgleichszahlungen werden nach den jeweils geltenden bundes- und landesgesetzlichen Bestimmungen geregelt.</w:t>
      </w:r>
    </w:p>
    <w:p>
      <w:r>
        <w:rPr>
          <w:color w:val="555555"/>
          <w:sz w:val="17"/>
        </w:rPr>
        <w:t xml:space="preserve">Zitiervorschlag: § 6 SN-15187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https://recht.nulegal.eu/gesetze/SN-15187/6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