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SN-15187 (Sachsen) — Zulässige Handlungen</w:t>
      </w:r>
    </w:p>
    <w:p>
      <w:r>
        <w:rPr>
          <w:color w:val="555555"/>
          <w:sz w:val="18"/>
        </w:rPr>
        <w:t xml:space="preserve">Verordnung des Regierungspräsidiums Leipzig zur Festsetzung des Naturschutzgebietes „Reudnitz“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4 gilt nicht</w:t>
      </w:r>
    </w:p>
    <w:p>
      <w:r>
        <w:t xml:space="preserve">1. für die dem Schutzzweck entsprechende, im Sinne des § 3 SächsNatSchG umweltgerechte landwirtschaftliche Nutzung der Landwirtschaftsfläche des Flurstückes 583, Gemarkung Olganitz sowie des Flurstückes 283/1, Gemarkung Schöna in der bisherigen Art und im bisherigen Umfang mit der Maßgabe, dass eine negative Beeinflussung angrenzender Schutzgebietsflächen durch die Bewirtschaftung ausgeschlossen ist;</w:t>
      </w:r>
    </w:p>
    <w:p>
      <w:r>
        <w:t xml:space="preserve">2. für die dem Schutzzweck entsprechende, ordnungsgemäße Ausübung der fischereilichen Bewirtschaftung einschließlich jahreszeitlicher Änderungen der Staubedingungen in den Teichen auf Grund einer einvernehmlich zwischen Nutzungsberechtigten, Fischerei- und Naturschutzbehörde abgestimmten Bewirtschaftungskonzeption;</w:t>
      </w:r>
    </w:p>
    <w:p>
      <w:r>
        <w:t xml:space="preserve">3. für die dem Schutzzweck entsprechende, ordnungsgemäße Ausübung der Jagd mit der Maßgabe, dass</w:t>
      </w:r>
    </w:p>
    <w:p>
      <w:r>
        <w:t xml:space="preserve">3.1 die Jagd in den Bereichen der Wasser-, Röhricht- und Uferzonen der Teiche auf Wasservögel nicht ausgeübt wird – die gesetzlich vorgeschriebene Nachsuche beziehungsweise fußläufige Bergung verletzten oder verendeten Wildes fällt nicht unter diese Maßgabe;</w:t>
      </w:r>
    </w:p>
    <w:p>
      <w:r>
        <w:t xml:space="preserve">3.2 die Jagd in den nicht unter 3.1 genannten Bereichen nur durch Einzeljagd zulässig ist beziehungsweise</w:t>
      </w:r>
    </w:p>
    <w:p>
      <w:r>
        <w:t xml:space="preserve">3.3 andere Jagdformen und die Jagd in den unter 3.1 genannten Bereichen nur außerhalb der Brut- und Aufzuchtzeiten und im Einvernehmen mit der Naturschutzbehörde zulässig sind – für vorab angezeigte Gemeinschaftsjagden im Schutzgebiet in den Monaten Oktober bis Januar jeden Jahres gilt das Einvernehmen grundsätzlich als erteilt;</w:t>
      </w:r>
    </w:p>
    <w:p>
      <w:r>
        <w:t xml:space="preserve">3.4 die Neuanlage jagdlicher Einrichtungen der Genehmigung durch die Naturschutzbehörde gemäß § 37 des Sächsischen Landesjagdgesetzes ( SächsLJagdG ) vom 8. Mai 1991 (SächsGVBl. S. 67), zuletzt geändert durch Artikel 50 des Gesetzes vom 28. Juni 2001 (SächsGVBl. S. 426, 430), bedarf.</w:t>
      </w:r>
    </w:p>
    <w:p>
      <w:r>
        <w:t xml:space="preserve">4. für die dem Schutzzweck entsprechende umweltgerechte forstwirtschaftliche Nutzung der Forstflächen auf Grund eines einvernehmlich zwischen Bewirtschafter, Forst- und Naturschutzbehörde abgestimmten periodischen Betriebsplanes nach § 22 des SächsWaldG (Staatswald) oder eines zwischen den Bewirtschaftern, Forst- und Naturschutzbehörden einvernehmlich abgestimmtem Bewirtschaftungsplanes (Privatwald);</w:t>
      </w:r>
    </w:p>
    <w:p>
      <w:r>
        <w:t xml:space="preserve">5. für die dem Schutzzweck entsprechende Unterhaltung der Gewässer mit der Maßgabe, dass die Unterhaltung und Pflege der wasserbaulichen Anlagen ökologisch in Abstimmung mit der zuständigen Naturschutzbehörde erfolgt;</w:t>
      </w:r>
    </w:p>
    <w:p>
      <w:r>
        <w:t xml:space="preserve">6. für die dem Schutzzweck entsprechende Entnahme von Grundwasser im Rahmen der bestehenden Wasserrechte und gegebenenfalls erforderliche Ersatzmaßnahmen zur weiteren Ausübung der bestehenden Nutzungsrechte (zum Beispiel Ersatzbrunnen, Ersatzleitungen);</w:t>
      </w:r>
    </w:p>
    <w:p>
      <w:r>
        <w:t xml:space="preserve">7. für die Badenutzung der östlichen Hälfte des Auteiches (Flurstück 656, Gemarkung Olganitz) in der bisherigen Art und im bisherigen Umfang einschließlich der damit verbundenen Unterhaltungsmaßnahmen am Teich;</w:t>
      </w:r>
    </w:p>
    <w:p>
      <w:r>
        <w:t xml:space="preserve">8. für die sonstige bisher rechtmäßig ausgeübte Nutzung der Grundstücke sowie der rechtmäßig bestehenden Einrichtungen in der bisherigen Art und im bisherigen Umfang sowie deren Unterhaltung und Erhaltung;</w:t>
      </w:r>
    </w:p>
    <w:p>
      <w:r>
        <w:t xml:space="preserve">9. für Pflegemaßnahmen, die von der unteren Naturschutzbehörde oder der von ihr beauftragten Stelle angeordnet werden;</w:t>
      </w:r>
    </w:p>
    <w:p>
      <w:r>
        <w:t xml:space="preserve">10. für behördlich abgestimmte wissenschaftliche Untersuchungen im Auftrag der Naturschutz- beziehungsweise Naturschutzfachbehörde zur Aufstellung oder Fortschreibung eines Pflege- und Entwicklungsplanes beziehungsweise zur Überwachung des Bestands der Schutzgüter;</w:t>
      </w:r>
    </w:p>
    <w:p>
      <w:r>
        <w:t xml:space="preserve">11. für behördlich angeordnete oder zugelassene Beschilderungen;</w:t>
      </w:r>
    </w:p>
    <w:p>
      <w:r>
        <w:t xml:space="preserve">12. für die von der Naturschutzbehörde angeordneten oder genehmigten Wegemarkierungen;</w:t>
      </w:r>
    </w:p>
    <w:p>
      <w:r>
        <w:t xml:space="preserve">13. für gesetzlich vorgeschriebene Vermessungsarbeiten.</w:t>
      </w:r>
    </w:p>
    <w:p>
      <w:r>
        <w:rPr>
          <w:color w:val="555555"/>
          <w:sz w:val="17"/>
        </w:rPr>
        <w:t xml:space="preserve">Zitiervorschlag: § 5 SN-15187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https://recht.nulegal.eu/gesetze/SN-15187/5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