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SN-15187 (Sachsen) — Schutzzweck</w:t>
      </w:r>
    </w:p>
    <w:p>
      <w:r>
        <w:rPr>
          <w:color w:val="555555"/>
          <w:sz w:val="18"/>
        </w:rPr>
        <w:t xml:space="preserve">Verordnung des Regierungspräsidiums Leipzig zur Festsetzung des Naturschutzgebietes „Reudnitz“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ist:</w:t>
      </w:r>
    </w:p>
    <w:p>
      <w:r>
        <w:t xml:space="preserve">1. die Erhaltung sowie möglichst naturnahe Entwicklung einer Kette naturnaher, oligo- bis mesotropher Teiche mit natürlicher Verlandungszonierung und mit standorttypisch einheimischen Arten bestockten, unmittelbar angrenzenden Feuchtwäldern als Lebensraum zahlreicher wildlebender Tier- und Pflanzenarten, insbesondere der zahlreichen seltenen und geschützten Arten;</w:t>
      </w:r>
    </w:p>
    <w:p>
      <w:r>
        <w:t xml:space="preserve">2. die Erhaltung sowie möglichst naturnahe Entwicklung der Fließgewässer, insbesondere der die Teiche verbindenden Bäche mit landschafts- und biotoptypischer Wasserführung und Gewässerstruktur;</w:t>
      </w:r>
    </w:p>
    <w:p>
      <w:r>
        <w:t xml:space="preserve">3. die Erhaltung sowie naturnahe Entwicklung der Buchen-, Buchenmisch-, Waldkiefern-Eichen- und Eichenmischwälder, insbesondere auch der überregional bedeutsamen Hainsimsen-Buchenwälder;</w:t>
      </w:r>
    </w:p>
    <w:p>
      <w:r>
        <w:t xml:space="preserve">4. die Entwicklung der nicht naturnah bestockten Bereiche hin zu naturnahen, reich strukturierten und standortgerechten Laubwaldbeständen, der Kiefernsaatgutbestand auf Flurstück 582/1, Gemarkung Olganitz [Forstabteilung 128] kann jedoch als solcher erhalten werden;</w:t>
      </w:r>
    </w:p>
    <w:p>
      <w:r>
        <w:t xml:space="preserve">5. die Sicherung und biotopgemäße Entwicklung der Moor-, Anmoor- und Quellstandorte;</w:t>
      </w:r>
    </w:p>
    <w:p>
      <w:r>
        <w:t xml:space="preserve">6. die Sicherung der natürlichen Artenvielfalt des Gebiets durch Gewährleistung eines günstigen Erhaltungszustands der Lebensräume und ihrer funktional-räumlichen Zusammenhänge;</w:t>
      </w:r>
    </w:p>
    <w:p>
      <w:r>
        <w:t xml:space="preserve">7. die Sicherung der besonderen Funktion des Schutzgebietes als wichtiger Lebensraum für eine Vielzahl von gefährdeten, in ihrem Vorkommen an die Feucht- und Gewässerbiotope gebundenen Tier- und Pflanzenarten (besonders auch der Amphibien, wie Kammmolch, Kleinem Wasserfrosch und Moorfrosch sowie der Libellen).</w:t>
      </w:r>
    </w:p>
    <w:p>
      <w:r>
        <w:rPr>
          <w:color w:val="555555"/>
          <w:sz w:val="17"/>
        </w:rPr>
        <w:t xml:space="preserve">Zitiervorschlag: § 3 SN-15187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