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SN-15186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in dem Naturschutzgebiet vorsätzlich oder fahrlässig ohne Erlaubnis nach § 5 beziehungsweise Befreiung nach § 8 eine der nach § 4 Abs. 1 und 2 verbotenen oder nach § 5 Abs. 1 erlaubnispflichtigen Handlungen vornimmt.</w:t>
      </w:r>
    </w:p>
    <w:p>
      <w:r>
        <w:t xml:space="preserve">(2) Ordnungswidrig gemäß § 61 Abs. 1 Nr. 1 SächsNatSchG handelt auch, wer vorsätzlich oder fahrlässig eine vollziehbare Nebenbestimmung, mit der eine nach § 5 erteilte Erlaubnis oder eine nach § 8 erteilte Befreiung versehen wurde, nicht, nicht vollständig, nicht fristgemäß oder nicht ordnungsgemäß erfüllt.</w:t>
      </w:r>
    </w:p>
    <w:p>
      <w:r>
        <w:t xml:space="preserve">(3) Ordnungswidrig gemäß § 61 Abs. 1 Nr. 1 SächsNatSchG handelt schließlich, wer vorsätzlich oder fahrlässig Maßnahmen, die durch oder im Auftrag der unteren Naturschutzbehörde auf der Grundlage des Pflege- und Entwicklungsplans durchgeführt werden, vereitelt, behindert oder auf sonstige Weise stört.</w:t>
      </w:r>
    </w:p>
    <w:p>
      <w:r>
        <w:rPr>
          <w:color w:val="555555"/>
          <w:sz w:val="17"/>
        </w:rPr>
        <w:t xml:space="preserve">Zitiervorschlag: § 9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