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SN-15186 (Sachsen) — Zulässige Handlungen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Zulässig sind:</w:t>
      </w:r>
    </w:p>
    <w:p>
      <w:r>
        <w:t xml:space="preserve">1. die dem Schutzzweck entsprechende umweltgerechte Forstwirtschaft; § 4 Abs. 2 Nrn. 5, 11, 14 und 15 bleiben unberührt;</w:t>
      </w:r>
    </w:p>
    <w:p>
      <w:r>
        <w:t xml:space="preserve">2. die dem Schutzzweck entsprechende ordnungsgemäße Ausübung der Jagd mit der Maßgabe, dass die Anlage von Hochsitzen und das Aufstellen von Kanzeln der unteren Naturschutzbehörde zwei Wochen zuvor anzuzeigen sind;</w:t>
      </w:r>
    </w:p>
    <w:p>
      <w:r>
        <w:t xml:space="preserve">3. Beobachtungen und Untersuchungen im Naturschutzgebiet durch die zuständigen Fach- oder Verwaltungsbehörden oder der von diesen Behörden beauftragten Dritten;</w:t>
      </w:r>
    </w:p>
    <w:p>
      <w:r>
        <w:t xml:space="preserve">4. die Unterhaltung und Instandsetzung der vorhandenen Anlagen und Leitungen der öffentlichen und privaten Versorgung in ihrer bisherigen Art und in ihrem bisherigen Umfang;</w:t>
      </w:r>
    </w:p>
    <w:p>
      <w:r>
        <w:t xml:space="preserve">5. die Unterhaltung der rechtmäßig vorhandenen Waldwege in ihrer bisherigen Art und in ihrem bisherigen Umfang einschließlich von Maßnahmen der Verkehrssicherung;</w:t>
      </w:r>
    </w:p>
    <w:p>
      <w:r>
        <w:t xml:space="preserve">6. das Befahren der von der Kreisstraße 9315 abgehenden Zufahrt zur Gaststätte „Prinzenhöhle“ im Rahmen der Bewirtschaftung dieser Gaststätte;</w:t>
      </w:r>
    </w:p>
    <w:p>
      <w:r>
        <w:t xml:space="preserve">7. das Verlegen von Ver- und Entsorgungsleitungen sowie von Telekommunikationskabeln im Bereich der unter Nr. 6 genannten Gaststättenzufahrt als Grundlage der Bewirtschaftung dieser Gaststätte mit der Maßgabe, dass diese Arbeiten der unteren Naturschutzbehörde zwei Wochen vor Beginn anzuzeigen sind;</w:t>
      </w:r>
    </w:p>
    <w:p>
      <w:r>
        <w:t xml:space="preserve">8. Vermessungsarbeiten nach dem Sächsischen Vermessungsgesetz mit der Maßgabe, dass diese der unteren Naturschutzbehörde zwei Wochen vor Beginn anzuzeigen sind;</w:t>
      </w:r>
    </w:p>
    <w:p>
      <w:r>
        <w:t xml:space="preserve">9. die Unterhaltung der Fließgewässer unter Maßgabe des Schutzzwecks; § 4 Abs. 1 und 2 Nr. 5 bleiben unberührt.</w:t>
      </w:r>
    </w:p>
    <w:p>
      <w:r>
        <w:rPr>
          <w:color w:val="555555"/>
          <w:sz w:val="17"/>
        </w:rPr>
        <w:t xml:space="preserve">Zitiervorschlag: § 6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