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SN-15186 (Sachsen) — In-Kraft-Treten</w:t>
      </w:r>
    </w:p>
    <w:p>
      <w:r>
        <w:rPr>
          <w:color w:val="555555"/>
          <w:sz w:val="18"/>
        </w:rPr>
        <w:t xml:space="preserve">Verordnung des Regierungspräsidiums Chemnitz zur Festsetzung des Naturschutzgebietes „Hartensteiner 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Tage nach Ablauf der Auslegungsfrist im Sinne von § 2 Abs. 5 in Kraft.</w:t>
      </w:r>
    </w:p>
    <w:p>
      <w:r>
        <w:t xml:space="preserve">(2) Die gemäß § 64 Abs. 1 SächsNatSchG in Verbindung mit Artikel 1 § 2 Abs. 1 des Rechtsbereinigungsgesetzes des Freistaates Sachsen übergeleitete Anordnung des Ministers für Landwirtschaft, Erfassung und Forstwirtschaft vom 30. März 1961 (GBl. DDR II S. 166/170) tritt mit In-Kraft-Treten dieser Verordnung für das Naturschutzgebiet „Hartensteiner Wald“ außer Kraft.</w:t>
      </w:r>
    </w:p>
    <w:p>
      <w:r>
        <w:t xml:space="preserve">Chemnitz, den 19. April 2001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t xml:space="preserve">Übersichtskarte</w:t>
      </w:r>
    </w:p>
    <w:p>
      <w:r>
        <w:rPr>
          <w:color w:val="555555"/>
          <w:sz w:val="17"/>
        </w:rPr>
        <w:t xml:space="preserve">Zitiervorschlag: § 10 SN-15186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https://recht.nulegal.eu/gesetze/SN-15186/10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SN-15186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