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SN-15183 (Sachsen) — Pflege- und Entwicklungsmaßnahmen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Maßgabe der §§ 4 und 5 dieser Verordnung ist zur dauerhaften Sicherung und Weiterentwicklung der Schutzwürdigkeit des Schutzgebietes</w:t>
      </w:r>
    </w:p>
    <w:p>
      <w:r>
        <w:t xml:space="preserve">1. in Abstimmung mit den Nutzungsberechtigten eine äußerst pflegliche, im wesentlichen auf Einzelstammnutzung orientierte Bewirtschaftung der naturnahen Wälder (zum Beispiel Wald im Bereich von Felsköpfen, Bach-Erlen-Eschen-Wald) fortzuführen beziehungsweise zu entwickeln, die die vorhandenen naturnahen Bestandsarten- und -altersstrukturen erhält, die Erosionsgefahr berücksichtigt, einen hohen Alt- und Totholzanteil sichert, kleinflächig historische Bewirtschaftungsformen wieder aufgreift, naturnahe Waldrandstukturen zulässt und entwickelt sowie nicht naturnah bestockte Waldflächen in naturnahe Bestände überführt;</w:t>
      </w:r>
    </w:p>
    <w:p>
      <w:r>
        <w:t xml:space="preserve">2. für die bisher intensiv genutzten randlich gelegenen Wiesen einvernehmlich mit den Eigentümern und Nutzungsberechtigten eine naturschutzgerechte Grünlandnutzung einzuleiten beziehungsweise zu entwickeln;</w:t>
      </w:r>
    </w:p>
    <w:p>
      <w:r>
        <w:t xml:space="preserve">3. der im NSG gelegene Acker im Bereich der Schanzenbachaue nahe der Mündung in die Freiberger Mulde sowie anteilig weitere, randlich ins NSG ragende Ackerflächen möglichst in Grünland umzuwandeln;</w:t>
      </w:r>
    </w:p>
    <w:p>
      <w:r>
        <w:t xml:space="preserve">4. für die naturnahen Offenlandbiotope (Felsstandorte, Magerrasen) eine biotopgerechte Pflege einzuführen und durch regelmäßiges Monitoring weiterzuentwickeln;</w:t>
      </w:r>
    </w:p>
    <w:p>
      <w:r>
        <w:t xml:space="preserve">5. für die an Wälder oder andere naturnahe Biotope angrenzenden Ackerflächen (außerhalb des NSG) auf eine Bewirtschaftung hinzuwirken, die einen Nährstoff- oder Biozideintrag in die geschützten Bereiche verhindert;</w:t>
      </w:r>
    </w:p>
    <w:p>
      <w:r>
        <w:t xml:space="preserve">6. die natürliche Entwicklung der Fließgewässer so weit wie möglich zuzulassen und wo sinnvoll diese durch gezielte, einvernehmlich mit den Betroffenen abgestimmte Maßnahmen zu ermöglichen;</w:t>
      </w:r>
    </w:p>
    <w:p>
      <w:r>
        <w:t xml:space="preserve">7. ein Besucher- und Wegekonzept aufzustellen, dass die vorhandenen, für die störungsempfindlichen Tierarten wichtigen, beruhigten Bereiche erhält und entwickelt.</w:t>
      </w:r>
    </w:p>
    <w:p>
      <w:r>
        <w:t xml:space="preserve">(2) Ein zu erstellender Pflege- und Entwicklungsplan dient der Konkretisierung der in Absatz 1 aufgeführten Punkte. Die Maßnahmen werden mit den Eigentümern beziehungsweise berechtigten Nutzern der Flächen abgestimmt.</w:t>
      </w:r>
    </w:p>
    <w:p>
      <w:r>
        <w:t xml:space="preserve">(3) Die Durchführung von Pflege- und Entwicklungsmaßnahmen kann Eigentümern und Nutzungsberechtigten gemäß § 15 Abs. 5 SächsNatSchG auf Antrag übertragen werden. Ansonsten haben diese die Durchführung der im Pflege- und Entwicklungsplan enthaltenen Maßnahmen zu dulden.</w:t>
      </w:r>
    </w:p>
    <w:p>
      <w:r>
        <w:t xml:space="preserve">(4) Entschädigungs- und Härtefallausgleichszahlungen werden nach den jeweils geltenden bundes- und landesgesetzlichen Bestimmungen geregelt.</w:t>
      </w:r>
    </w:p>
    <w:p>
      <w:r>
        <w:rPr>
          <w:color w:val="555555"/>
          <w:sz w:val="17"/>
        </w:rPr>
        <w:t xml:space="preserve">Zitiervorschlag: § 6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