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SN-15183 (Sachsen) — Schutzzweck</w:t>
      </w:r>
    </w:p>
    <w:p>
      <w:r>
        <w:rPr>
          <w:color w:val="555555"/>
          <w:sz w:val="18"/>
        </w:rPr>
        <w:t xml:space="preserve">Verordnung des Regierungspräsidiums Leipzig zur Festsetzung des Naturschutzgebietes „Kirstenmühle-Schanzenbachtal“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ist:</w:t>
      </w:r>
    </w:p>
    <w:p>
      <w:r>
        <w:t xml:space="preserve">1. die Erhaltung und Entwicklung der aus wissenschaftlichen, naturgeschichtlichen und landeskundlichen Gründen wertvollen naturnahen Hang- und Schluchtwälder sowie der sonstigen naturnahen Wälder (zum Beispiel Wald im Bereich von Felsköpfen, Erlen-Eschen-Wald an Bächen) bei größtmöglicher Kontinuität des Waldbestands, der Nutzung der Möglichkeiten der Naturverjüngung, einschließlich eines möglichst naturnahen Alt- und Totholzanteils als Habitat zahlreicher spezialisierter Tierarten sowie der kleinflächigen Pflege historischer Waldbewirtschaftungsformen (Mittel- und Niederwald);</w:t>
      </w:r>
    </w:p>
    <w:p>
      <w:r>
        <w:t xml:space="preserve">2. die langfristige Entwicklung der nicht naturnah bestockten Bereiche durch Waldumbau hin zu naturnahen, reich strukturierten und standortgerechten Laubmischwaldbeständen;</w:t>
      </w:r>
    </w:p>
    <w:p>
      <w:r>
        <w:t xml:space="preserve">3. die Erhaltung und die die wertgebende Biotopstruktur pflegende Entwicklung der felsigen Waldgrenz- und der waldfreien Standorte am Muldetalhang als kleinflächige, natürliche beziehungsweise naturnahe Habitate beziehungsweise Wuchsorte von empfindlichen Offenlandarten, wie Nelkenschwingel (Aira praecox) und Dreizahn (Danthonia decumbens);</w:t>
      </w:r>
    </w:p>
    <w:p>
      <w:r>
        <w:t xml:space="preserve">4. die Erhaltung und Entwicklung des reich strukturierten Wald-Wiesen-Mosaiks, insbesondere die Verzahnung der Grünlandbereiche mit wenig erschlossenen und daher störungsarmen Wäldern;</w:t>
      </w:r>
    </w:p>
    <w:p>
      <w:r>
        <w:t xml:space="preserve">5. Sicherung und Entwicklung artenreicher Waldmäntel mit einheimischen und standortgerechten Gehölzen als wichtigem biotopverbindendem Element zwischen Wald und Offenland;</w:t>
      </w:r>
    </w:p>
    <w:p>
      <w:r>
        <w:t xml:space="preserve">6. Entwicklung der bislang intensiv genutzten Grünlandflächen zu artenreichen Frisch- und Feuchtwiesen durch geeignete extensive Nutzung beziehungsweise Pflege;</w:t>
      </w:r>
    </w:p>
    <w:p>
      <w:r>
        <w:t xml:space="preserve">7. die Zulassung einer möglichst weitgehend natürlichen Entwicklung des Schanzenbachs und seiner Zuflüsse (natürliche Gewässerdynamik) und die Erhaltung und Entwicklung der ökologische Durchgängigkeit;</w:t>
      </w:r>
    </w:p>
    <w:p>
      <w:r>
        <w:t xml:space="preserve">8. die Erhaltung und Entwicklung der Stillgewässer – vor allem Giksteich und Maschinenteich – als Habitat bedrohter Arten (insbesondere Amphibien);</w:t>
      </w:r>
    </w:p>
    <w:p>
      <w:r>
        <w:t xml:space="preserve">9. die Erhaltung, Entwicklung und Pflege der gewässerbegleitenden Bestände des aus einheimischen, standortgerechten Gehölzarten aufbauenden Bachauewaldes sowie insgesamt die naturnahe Entwicklung des Gewässerumfeldes;</w:t>
      </w:r>
    </w:p>
    <w:p>
      <w:r>
        <w:t xml:space="preserve">10. der Schutz der natürlichen Entwicklung der Populationen der wildlebenden Tier- und Pflanzenarten, insbesondere jener der seltenen, bedrohten und streng geschützten Arten der naturnahen Wälder und naturnahen Waldgrenzstandorte innerhalb und außerhalb des Waldes sowie der Gewässer und der naturnahen Grünlandstandorte.</w:t>
      </w:r>
    </w:p>
    <w:p>
      <w:r>
        <w:rPr>
          <w:color w:val="555555"/>
          <w:sz w:val="17"/>
        </w:rPr>
        <w:t xml:space="preserve">Zitiervorschlag: § 3 SN-15183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