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SN-15183 (Sachsen) — In-Kraft-Treten</w:t>
      </w:r>
    </w:p>
    <w:p>
      <w:r>
        <w:rPr>
          <w:color w:val="555555"/>
          <w:sz w:val="18"/>
        </w:rPr>
        <w:t xml:space="preserve">Verordnung des Regierungspräsidiums Leipzig zur Festsetzung des Naturschutzgebietes „Kirstenmühle-Schanzenbachtal“</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tritt am Tage nach Ablauf der Auslegungsfrist gemäß § 2 Abs. 4 dieser Verordnung in Kraft.</w:t>
      </w:r>
    </w:p>
    <w:p>
      <w:r>
        <w:t xml:space="preserve">(2) Mit In-Kraft-Treten dieser Verordnung treten die „Anordnung Nr. 1 über Naturschutzgebiete“ vom 30. März 1961 (GBl. DDR II, Nr. 27/61) und der Beschluss des Bezirkstages Leipzig (Nr. 68/VIII/84) vom 20. September 1984, soweit sie sich auf Teile der in § 2 beschriebenen Fläche bezieht, außer Kraft.</w:t>
      </w:r>
    </w:p>
    <w:p>
      <w:r>
        <w:t xml:space="preserve">Leipzig, den 19. Dezember 2000</w:t>
      </w:r>
    </w:p>
    <w:p>
      <w:r>
        <w:t xml:space="preserve">Regierungspräsidium Leipzig</w:t>
      </w:r>
    </w:p>
    <w:p>
      <w:r>
        <w:t xml:space="preserve">Steinbach</w:t>
      </w:r>
    </w:p>
    <w:p>
      <w:r>
        <w:t xml:space="preserve">Regierungspräsident</w:t>
      </w:r>
    </w:p>
    <w:p>
      <w:r>
        <w:t xml:space="preserve">Verkündigungshinweis:</w:t>
      </w:r>
    </w:p>
    <w:p>
      <w:r>
        <w:t xml:space="preserve">Gemäß § 51 Abs. 10 SächsNatSchG ist eine Verletzung der Verfahrensvorschriften unbeachtlich, wenn sie nicht innerhalb eines Jahres nach Verkündigung der Rechtsverordnung schriftlich unter Angabe des Sachverhaltes, der die Verletzung begründen soll, bei der höheren Naturschutzbehörde, die die Rechtsverordnung erlassen hat, geltend gemacht wird.</w:t>
      </w:r>
    </w:p>
    <w:p>
      <w:r>
        <w:t xml:space="preserve">Übersichtskarte</w:t>
      </w:r>
    </w:p>
    <w:p>
      <w:r>
        <w:rPr>
          <w:color w:val="555555"/>
          <w:sz w:val="17"/>
        </w:rPr>
        <w:t xml:space="preserve">Zitiervorschlag: § 10 SN-15183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https://recht.nulegal.eu/gesetze/SN-15183/10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