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SN-15178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„Geisingberg“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1. entgegen § 4 Abs. 2 Nr. 1 bauliche Anlagen im Sinne der SächsBO errichtet, ändert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oder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Gewässer verunreinigt oder Entwässerungs- oder andere Maßnahmen vornimmt, die den Wasserhaushalt des Gebietes verändern oder verändern können;</w:t>
      </w:r>
    </w:p>
    <w:p>
      <w:r>
        <w:t xml:space="preserve">7. entgegen § 4 Abs. 2 Nr. 7 Plakate, Markierungszeichen, Bild- oder Schrifttafeln aufstellt oder an im Schutzgebiet befindliche Objekte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Brut-, Wohn- oder Zufluchtsstätten dieser Tiere entfernt, beschädigt oder zerstört;</w:t>
      </w:r>
    </w:p>
    <w:p>
      <w:r>
        <w:t xml:space="preserve">10. entgegen § 4 Abs. 2 Nr. 10 den Teich am Steinbruch am Osthang des Geisingberges fischereilich nutzt;</w:t>
      </w:r>
    </w:p>
    <w:p>
      <w:r>
        <w:t xml:space="preserve">11. entgegen § 4 Abs. 2 Nr. 11 die bisherige Grundstücksnutzung in einer Art ändert, welche dem Schutzzweck zuwiderläuft;</w:t>
      </w:r>
    </w:p>
    <w:p>
      <w:r>
        <w:t xml:space="preserve">12. entgegen § 4 Abs. 2 Nr. 12 zeltet, lagert, Wohnwagen, sonstige Fahrzeuge oder Verkaufsstände aufstellt oder motorgetriebene Schlitten benutzt;</w:t>
      </w:r>
    </w:p>
    <w:p>
      <w:r>
        <w:t xml:space="preserve">13. entgegen § 4 Abs. 2 Nr. 13 Flächen außerhalb der Straßen und Wege betritt, auf diesen reitet oder mit motorgetriebenen oder bespannten Fahrzeugen fährt;</w:t>
      </w:r>
    </w:p>
    <w:p>
      <w:r>
        <w:t xml:space="preserve">14. entgegen § 4 Abs. 2 Nr. 14 Feuer anmacht oder unterhält;</w:t>
      </w:r>
    </w:p>
    <w:p>
      <w:r>
        <w:t xml:space="preserve">15. entgegen § 4 Abs. 2 Nr. 15 Lärm verursacht, der geeignet ist, Tiere zu beunruhigen und den Naturgenuss zu beeinträchtigen;</w:t>
      </w:r>
    </w:p>
    <w:p>
      <w:r>
        <w:t xml:space="preserve">16. entgegen § 4 Abs. 2 Nr. 16 Hunde unangeleint laufen lässt oder</w:t>
      </w:r>
    </w:p>
    <w:p>
      <w:r>
        <w:t xml:space="preserve">17. entgegen § 4 Abs. 2 Nr. 17 mit Luftfahrzeugen startet oder landet,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1. entgegen § 5 Nr. 1 Buchst. a Salzlecken in nach § 26 SächsNatSchG geschützten Grünlandbiotopen oder Steinrücken anlegt;</w:t>
      </w:r>
    </w:p>
    <w:p>
      <w:r>
        <w:t xml:space="preserve">2. entgegen § 5 Nr. 2 Buchst. a Dauergrünland aufforstet;</w:t>
      </w:r>
    </w:p>
    <w:p>
      <w:r>
        <w:t xml:space="preserve">3. entgegen § 5 Nr. 2 Buchst. b Biozide einsetzt;</w:t>
      </w:r>
    </w:p>
    <w:p>
      <w:r>
        <w:t xml:space="preserve">4. entgegen § 5 Nr. 2 Buchst. c Kahlhiebe im Sinne von § 19 SächsWaldG durchführt;</w:t>
      </w:r>
    </w:p>
    <w:p>
      <w:r>
        <w:t xml:space="preserve">5. entgegen § 5 Nr. 3 Buchst. a Maßnahmen zur Mahd, Beweidung, Düngung sowie zum Einsatz von Bioziden vornimmt, ohne diese spätestens sechs Wochen vorher bei der Naturschutzbehörde anzuzeigen;</w:t>
      </w:r>
    </w:p>
    <w:p>
      <w:r>
        <w:t xml:space="preserve">6. entgegen § 5 Nr. 3 Buchst. b Weihnachtsbaum- oder Schmuckreisigkulturen anlegt, Dauergrünland umbricht oder auf diesem pfercht.</w:t>
      </w:r>
    </w:p>
    <w:p>
      <w:r>
        <w:t xml:space="preserve">7. entgegen § 5 Nr. 4 bauliche Anlagen ohne Genehmigung der Naturschutzbehörde abbricht oder beseitigt.</w:t>
      </w:r>
    </w:p>
    <w:p>
      <w:r>
        <w:t xml:space="preserve">(4) Ordnungswidrig im Sinne des § 61 Abs. 1 Nr. 1 SächsNatSchG handelt auch,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rPr>
          <w:color w:val="555555"/>
          <w:sz w:val="17"/>
        </w:rPr>
        <w:t xml:space="preserve">Zitiervorschlag: § 8 SN-15178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https://recht.nulegal.eu/gesetze/SN-15178/8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