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SN-15176 (Sachsen) — Grundsätze der Pflege und Entwicklung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Erreichen des Schutzzweckes nach § 3 und nach Maßgabe der §§ 4 und 5 dieser Verordnung ist zur dauerhaften Sicherung und Weiterentwicklung der Schutzwürdigkeit des Naturschutzgebietes</w:t>
      </w:r>
    </w:p>
    <w:p>
      <w:r>
        <w:t xml:space="preserve">1. die weitgehend unbeeinflusste Entwicklung des Teichgebietes sowie angrenzender bewaldeter Versumpfungsbereiche zu sichern;</w:t>
      </w:r>
    </w:p>
    <w:p>
      <w:r>
        <w:t xml:space="preserve">2. für die Waldwiese und weitere naturnahe Offenlandstrukturen eine extensive Grünlandnutzung beziehungsweise Landschaftspflege einzuführen beziehungsweise fortzusetzen;</w:t>
      </w:r>
    </w:p>
    <w:p>
      <w:r>
        <w:t xml:space="preserve">3. eine Bewirtschaftung der Waldflächen mit dem Ziel einzuführen beziehungsweise fortzusetzen, naturnahe Waldparzellen zu erhalten und durch forstliche Maßnahmen im Einvernehmen mit der zuständigen Naturschutzbehörde zu entwickeln;</w:t>
      </w:r>
    </w:p>
    <w:p>
      <w:r>
        <w:t xml:space="preserve">4. ein für die Erhaltung des Lebensraumes und der Reproduktion der Reptilien notwendiger Freiflächenanteil auf den Dammbereichen innerhalb der Teichfläche durch Pflege freizuhalten;</w:t>
      </w:r>
    </w:p>
    <w:p>
      <w:r>
        <w:t xml:space="preserve">5. der Grundwasserhaushalt der an den Teich angrenzenden Flächen durch geeignete Maßnahmen unter Beachtung bestehender Nutzungen sukzessive in den natürlichen Zustand zu überführen.</w:t>
      </w:r>
    </w:p>
    <w:p>
      <w:r>
        <w:t xml:space="preserve">(2) Der zu erstellende Pflege- und Entwicklungsplan dient der Konkretisierung der in Absatz 1 aufgeführten Grundsätze der Pflege und Entwicklung und wird fortzuschreibende Grundlage für Pflege- und Entwicklungsmaßnahmen, die mit den Eigentümern und Bewirtschaftern der Flächen abzustimmen sind.</w:t>
      </w:r>
    </w:p>
    <w:p>
      <w:r>
        <w:t xml:space="preserve">(3) Die Durchführung von Pflege- und Entwicklungsmaßnahmen kann Eigentümern und Nutzungsberechtigten gemäß § 15 Abs. 5 SächsNatSchG auf Antrag übertragen werden. Ansonsten ist die Durchführung der im Pflege- und Entwicklungsplan enthaltenen Maßnahmen zu dulden.</w:t>
      </w:r>
    </w:p>
    <w:p>
      <w:r>
        <w:rPr>
          <w:color w:val="555555"/>
          <w:sz w:val="17"/>
        </w:rPr>
        <w:t xml:space="preserve">Zitiervorschlag: § 6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