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SN-15176 (Sachsen) — Zulässige Handlungen</w:t>
      </w:r>
    </w:p>
    <w:p>
      <w:r>
        <w:rPr>
          <w:color w:val="555555"/>
          <w:sz w:val="18"/>
        </w:rPr>
        <w:t xml:space="preserve">Verordnung des Regierungspräsidiums Leipzig zur Festsetzung des Naturschutzgebietes „Schmielteich Polenz“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4 gilt nicht</w:t>
      </w:r>
    </w:p>
    <w:p>
      <w:r>
        <w:t xml:space="preserve">1. für die dem Schutzzweck entsprechende, ordnungsgemäße Ausübung der Fischerei gemäß Fischereigesetz für den Freistaat Sachsen (Sächsisches Fischereigesetz – SächsFischG vom 1. Februar 1993 (SächsGVBl. S. 109) mit der Maßgabe, die Ausübung der Fischerei in einem Bewirtschaftungsplan einvernehmlich zwischen Bewirtschafter, Fischerei- und Naturschutzbehörde zu vereinbaren;</w:t>
      </w:r>
    </w:p>
    <w:p>
      <w:r>
        <w:t xml:space="preserve">2. für die dem Schutzzweck entsprechende, ordnungsgemäße Ausübung der Jagd mit der Maßgabe, dass</w:t>
      </w:r>
    </w:p>
    <w:p>
      <w:r>
        <w:t xml:space="preserve">2.1 die Jagd in den Bereichen der Wasser-, Röhricht- und Uferzonen des Teiches nicht ausgeübt wird, die gesetzlich vorgeschriebene Nachsuche und die Bergung bleiben unberührt;</w:t>
      </w:r>
    </w:p>
    <w:p>
      <w:r>
        <w:t xml:space="preserve">2.2 die Jagd auf Federwild nur im Zeitraum vom 15. September bis 16. Oktober und im Einvernehmen mit der Naturschutzbehörde erfolgt;</w:t>
      </w:r>
    </w:p>
    <w:p>
      <w:r>
        <w:t xml:space="preserve">2.3 die Jagd in den nicht unter 2.1 genannten Bereichen grundsätzlich durch Einzelansitzjagd erfolgt;</w:t>
      </w:r>
    </w:p>
    <w:p>
      <w:r>
        <w:t xml:space="preserve">2.4 Gesellschaftsjagden insbesondere zur Wildbestandsregulierung der Herstellung des Einvernehmens mit der Naturschutzbehörde bedürfen und nur im Zeitraum vom 15. Oktober bis 31. Januar eines jeden Winterhalbjahres durchgeführt werden;</w:t>
      </w:r>
    </w:p>
    <w:p>
      <w:r>
        <w:t xml:space="preserve">2.5 gemäß § 37 Abs. 3 des Sächsischen Landesjagdgesetzes ( SächsLJagdG ) vom 8. Mai 1991 (SächsGVBl. S. 67) die Errichtung von Jagdeinrichtungen der Genehmigung durch die zuständige Naturschutzbehörde bedarf und gemäß § 30 Abs. 2 Nr. 7 SächsLJagdG die Jagd mit Schlageisen verboten ist;</w:t>
      </w:r>
    </w:p>
    <w:p>
      <w:r>
        <w:t xml:space="preserve">2.6 eine Jagdausübung aus Gründen des Naturschutzes im Einvernehmen zwischen Jagdpächter und Naturschutzbehörde unberührt bleibt;</w:t>
      </w:r>
    </w:p>
    <w:p>
      <w:r>
        <w:t xml:space="preserve">2.7 ein Befahren des Schutzgebietes mit Ausnahme der unter 2.1 genannten Bereich nur zum Zweck des Wildtransportes zulässig ist.</w:t>
      </w:r>
    </w:p>
    <w:p>
      <w:r>
        <w:t xml:space="preserve">3. für die dem Schutzzweck entsprechende umweltgerechte forstwirtschaftliche Nutzung der Forstflächen auf der Grundlage eines einvernehmlich zwischen Waldbesitzer, Forst- und Naturschutzbehörde unter Beachtung der in § 6 Abs. 1 formulierten Schutz- und Pflegemaßnahmen abgestimmten Bewirtschaftungskonzeptes als Teilkonzept eines zu erstellenden Pflege- und Entwicklungsplanes. Auf § 30 Abs. 2 des Waldgesetzes für den Freistaat Sachsen ( SächsWaldG ) vom 10. April 1992 (SächsGVBl. S. 137), zuletzt geändert durch Artikel 2 des Gesetzes vom 21. Juni 1999 (SächsGVBl. S. 330, 333), wird verwiesen;</w:t>
      </w:r>
    </w:p>
    <w:p>
      <w:r>
        <w:t xml:space="preserve">4. für die dem Schutzzweck entsprechende Unterhaltung der Gewässer mit der Maßgabe, dass die Unterhaltung und Pflege der wasserbaulichen Anlagen ökologisch verträglich und nur im Einvernehmen mit der zuständigen Naturschutzbehörde erfolgt;</w:t>
      </w:r>
    </w:p>
    <w:p>
      <w:r>
        <w:t xml:space="preserve">5. für die sonstige bisher rechtmäßig ausgeübte Nutzung der Grundstücke sowie der rechtmäßig bestehenden Einrichtungen in der bisherigen Art und im bisherigen Umfang sowie deren Unterhaltung und Erhaltung;</w:t>
      </w:r>
    </w:p>
    <w:p>
      <w:r>
        <w:t xml:space="preserve">6. für Pflegemaßnahmen, die von der unteren Naturschutzbehörde oder der von ihr beauftragten Stelle angeordnet werden;</w:t>
      </w:r>
    </w:p>
    <w:p>
      <w:r>
        <w:t xml:space="preserve">7. für behördlich abgestimmte und genehmigte Tätigkeiten im Rahmen wissenschaftlicher Forschungsarbeiten;</w:t>
      </w:r>
    </w:p>
    <w:p>
      <w:r>
        <w:t xml:space="preserve">8. für behördlich angeordnete oder zugelassene Beschilderungen;</w:t>
      </w:r>
    </w:p>
    <w:p>
      <w:r>
        <w:t xml:space="preserve">9. für die von der Naturschutzbehörde angeordneten oder genehmigten Wegemarkierungen;</w:t>
      </w:r>
    </w:p>
    <w:p>
      <w:r>
        <w:t xml:space="preserve">10. für gesetzlich vorgeschriebene Vermessungsarbeiten.</w:t>
      </w:r>
    </w:p>
    <w:p>
      <w:r>
        <w:rPr>
          <w:color w:val="555555"/>
          <w:sz w:val="17"/>
        </w:rPr>
        <w:t xml:space="preserve">Zitiervorschlag: § 5 SN-15176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https://recht.nulegal.eu/gesetze/SN-15176/5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