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SN-15172 (Sachsen) — Übergangsregelung</w:t>
      </w:r>
    </w:p>
    <w:p>
      <w:r>
        <w:rPr>
          <w:color w:val="555555"/>
          <w:sz w:val="18"/>
        </w:rPr>
        <w:t xml:space="preserve">Verordnung des Regierungspräsidiums Leipzig zur Festsetzung des Naturschutzgebietes „Luppeaue“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nach Inkrafttreten der Verordnung des Regierungspräsidiums Leipzig zur Änderung der Verordnung zur Festsetzung des Naturschutzgebietes „Luppeaue“ vom 11. April 2007 (SächsABl. SDr. S. S 325) Maßnahmen einer Anzeigepflicht gemäß § 5 Nr. 1.1 unterliegen, die bisher verfahrensfrei waren, dürfen diese Maßnahmen bis zum 31. Dezember 2007 in bisheriger Art und im bisherigen Umfang auch ohne Erstattung einer Anzeige bei der unteren Naturschutzbehörde durchgeführt werden.</w:t>
      </w:r>
    </w:p>
    <w:p>
      <w:r>
        <w:rPr>
          <w:color w:val="555555"/>
          <w:sz w:val="17"/>
        </w:rPr>
        <w:t xml:space="preserve">Zitiervorschlag: § 9 SN-15172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https://recht.nulegal.eu/gesetze/SN-15172/9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