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SN-15172 (Sachsen) — Befreiungen</w:t>
      </w:r>
    </w:p>
    <w:p>
      <w:r>
        <w:rPr>
          <w:color w:val="555555"/>
          <w:sz w:val="18"/>
        </w:rPr>
        <w:t xml:space="preserve">Verordnung des Regierungspräsidiums Leipzig zur Festsetzung des Naturschutzgebietes „Luppeaue“</w:t>
      </w:r>
    </w:p>
    <w:p>
      <w:r>
        <w:rPr>
          <w:color w:val="555555"/>
          <w:sz w:val="18"/>
        </w:rPr>
        <w:t xml:space="preserve">Landesrecht Sachsen</w:t>
      </w:r>
    </w:p>
    <w:p>
      <w:r>
        <w:rPr>
          <w:color w:val="555555"/>
          <w:sz w:val="18"/>
        </w:rPr>
        <w:t xml:space="preserve">Stand: 26.08.2026 (konsolidierte Textfassung, kein amtliches Inkrafttretensdatum)</w:t>
      </w:r>
    </w:p>
    <w:p>
      <w:r>
        <w:t xml:space="preserve">(1) Von den Verboten dieser Verordnung kann die höhere Naturschutzbehörde nach § 53 SächsNatSchG auf Antrag Befreiung erteilen.</w:t>
      </w:r>
    </w:p>
    <w:p>
      <w:r>
        <w:t xml:space="preserve">(2) Ist eine Handlung gemäß § 5 nur mit Genehmigung der Naturschutzbehörde zulässig, so ist sie zu erteilen, wenn die Handlung dem Schutzzweck nicht zuwiderläuft. Die Genehmigung kann mit Nebenbestimmungen versehen werden, wenn dadurch die Vereinbarkeit mit dem Schutzzweck erreicht wird. Die Genehmigung wird durch eine nach anderen Vorschriften gleichzeitig erforderliche Gestattung ersetzt. Die Gestattung darf nur erteilt werden, wenn die Naturschutzbehörde ihr Einvernehmen erklärt hat.</w:t>
      </w:r>
    </w:p>
    <w:p>
      <w:r>
        <w:rPr>
          <w:color w:val="555555"/>
          <w:sz w:val="17"/>
        </w:rPr>
        <w:t xml:space="preserve">Zitiervorschlag: § 7 SN-15172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https://recht.nulegal.eu/gesetze/SN-15172/7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