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SN-15170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„Langes Holz – Radeland“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der aus wissenschaftlichen, naturgeschichtlichen und landeskundlichen Gründen wertvollen extensiv genutzten Feuchtwiesen- und Großseggenbereiche als Refugium für an diese Biotoptypen gebundene Tier- und Pflanzenarten,</w:t>
      </w:r>
    </w:p>
    <w:p>
      <w:r>
        <w:t xml:space="preserve">2. die Erhaltung und Entwicklung der wertvollen Feuchtwaldlebensgemeinschaften mit artenreichen Frühjahrsgeophytenlebensgemeinschaften und artenreicher Fauna einschließlich eines möglichst naturnahen Alt- und Totholzanteils,</w:t>
      </w:r>
    </w:p>
    <w:p>
      <w:r>
        <w:t xml:space="preserve">3. die Erhaltung und Entwicklung der im Gebiet vorkommenden wildlebenden Tier- und Pflanzenarten, insbesondere der seltenen, bedrohten und besonders geschützten Arten der Feuchtwiesen, Hochstaudenfluren, Großseggenriede sowie der Uferbereiche und der Feuchtwälder,</w:t>
      </w:r>
    </w:p>
    <w:p>
      <w:r>
        <w:t xml:space="preserve">4. Sicherung und Entwicklung artenreicher Waldmäntel mit einheimischen und standortgerechten Gehölzen,</w:t>
      </w:r>
    </w:p>
    <w:p>
      <w:r>
        <w:t xml:space="preserve">5. Entwicklung der bislang intensiv genutzten Grünlandflächen zu artenreichen Frisch- und Feuchtwiesen,</w:t>
      </w:r>
    </w:p>
    <w:p>
      <w:r>
        <w:t xml:space="preserve">6. Erhaltung und Entwicklung der naturnahen Gewässerstrukturen.</w:t>
      </w:r>
    </w:p>
    <w:p>
      <w:r>
        <w:rPr>
          <w:color w:val="555555"/>
          <w:sz w:val="17"/>
        </w:rPr>
        <w:t xml:space="preserve">Zitiervorschlag: § 3 SN-15170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